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spacing w:line="360" w:lineRule="auto"/>
        <w:jc w:val="center"/>
        <w:rPr>
          <w:rFonts w:ascii="Times New Roman" w:hAnsi="Times New Roman" w:eastAsia="宋体" w:cs="Times New Roman"/>
          <w:b/>
          <w:bCs/>
          <w:color w:val="000000" w:themeColor="text1"/>
          <w:sz w:val="44"/>
          <w:szCs w:val="44"/>
          <w14:textFill>
            <w14:solidFill>
              <w14:schemeClr w14:val="tx1"/>
            </w14:solidFill>
          </w14:textFill>
        </w:rPr>
      </w:pPr>
      <w:r>
        <w:rPr>
          <w:rFonts w:hint="eastAsia" w:ascii="Times New Roman" w:hAnsi="Times New Roman" w:eastAsia="宋体" w:cs="Times New Roman"/>
          <w:b/>
          <w:bCs/>
          <w:color w:val="000000" w:themeColor="text1"/>
          <w:sz w:val="44"/>
          <w:szCs w:val="44"/>
          <w14:textFill>
            <w14:solidFill>
              <w14:schemeClr w14:val="tx1"/>
            </w14:solidFill>
          </w14:textFill>
        </w:rPr>
        <w:t>江苏乐开机电有限公司冷锻产品和模具加工建设项目竣工环境保护验收监测报告表</w:t>
      </w:r>
    </w:p>
    <w:p>
      <w:pPr>
        <w:spacing w:line="360" w:lineRule="auto"/>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rPr>
          <w:rFonts w:ascii="Times New Roman" w:hAnsi="Times New Roman" w:eastAsia="宋体" w:cs="Times New Roman"/>
          <w:color w:val="00B0F0"/>
          <w:sz w:val="28"/>
          <w:szCs w:val="28"/>
        </w:rPr>
      </w:pPr>
    </w:p>
    <w:p>
      <w:pPr>
        <w:ind w:firstLine="1506" w:firstLineChars="500"/>
        <w:rPr>
          <w:rFonts w:ascii="Times New Roman" w:hAnsi="Times New Roman" w:eastAsia="宋体" w:cs="Times New Roman"/>
          <w:b/>
          <w:bCs/>
          <w:color w:val="000000" w:themeColor="text1"/>
          <w:sz w:val="30"/>
          <w:szCs w:val="30"/>
          <w14:textFill>
            <w14:solidFill>
              <w14:schemeClr w14:val="tx1"/>
            </w14:solidFill>
          </w14:textFill>
        </w:rPr>
      </w:pPr>
      <w:r>
        <w:rPr>
          <w:rFonts w:ascii="Times New Roman" w:hAnsi="Times New Roman" w:eastAsia="宋体" w:cs="Times New Roman"/>
          <w:b/>
          <w:bCs/>
          <w:color w:val="000000" w:themeColor="text1"/>
          <w:sz w:val="30"/>
          <w:szCs w:val="30"/>
          <w14:textFill>
            <w14:solidFill>
              <w14:schemeClr w14:val="tx1"/>
            </w14:solidFill>
          </w14:textFill>
        </w:rPr>
        <w:t>建设单位：</w:t>
      </w:r>
      <w:r>
        <w:rPr>
          <w:rFonts w:hint="eastAsia" w:ascii="Times New Roman" w:hAnsi="Times New Roman" w:eastAsia="宋体" w:cs="Times New Roman"/>
          <w:color w:val="000000" w:themeColor="text1"/>
          <w:sz w:val="30"/>
          <w:szCs w:val="30"/>
          <w14:textFill>
            <w14:solidFill>
              <w14:schemeClr w14:val="tx1"/>
            </w14:solidFill>
          </w14:textFill>
        </w:rPr>
        <w:t>江苏乐开机电有限公司</w:t>
      </w:r>
    </w:p>
    <w:p>
      <w:pPr>
        <w:ind w:firstLine="1506" w:firstLineChars="500"/>
        <w:rPr>
          <w:rFonts w:ascii="Times New Roman" w:hAnsi="Times New Roman" w:eastAsia="宋体" w:cs="Times New Roman"/>
          <w:b/>
          <w:bCs/>
          <w:color w:val="000000" w:themeColor="text1"/>
          <w:sz w:val="30"/>
          <w:szCs w:val="30"/>
          <w14:textFill>
            <w14:solidFill>
              <w14:schemeClr w14:val="tx1"/>
            </w14:solidFill>
          </w14:textFill>
        </w:rPr>
      </w:pPr>
      <w:r>
        <w:rPr>
          <w:rFonts w:ascii="Times New Roman" w:hAnsi="Times New Roman" w:eastAsia="宋体" w:cs="Times New Roman"/>
          <w:b/>
          <w:bCs/>
          <w:color w:val="000000" w:themeColor="text1"/>
          <w:sz w:val="30"/>
          <w:szCs w:val="30"/>
          <w14:textFill>
            <w14:solidFill>
              <w14:schemeClr w14:val="tx1"/>
            </w14:solidFill>
          </w14:textFill>
        </w:rPr>
        <w:t>编制单位：</w:t>
      </w:r>
      <w:r>
        <w:rPr>
          <w:rFonts w:hint="eastAsia" w:ascii="Times New Roman" w:hAnsi="Times New Roman" w:eastAsia="宋体" w:cs="Times New Roman"/>
          <w:color w:val="000000" w:themeColor="text1"/>
          <w:sz w:val="30"/>
          <w:szCs w:val="30"/>
          <w14:textFill>
            <w14:solidFill>
              <w14:schemeClr w14:val="tx1"/>
            </w14:solidFill>
          </w14:textFill>
        </w:rPr>
        <w:t>江苏南大环保科技有限公司</w:t>
      </w:r>
    </w:p>
    <w:p>
      <w:pPr>
        <w:jc w:val="center"/>
        <w:rPr>
          <w:rFonts w:ascii="Times New Roman" w:hAnsi="Times New Roman" w:eastAsia="宋体" w:cs="Times New Roman"/>
          <w:b/>
          <w:bCs/>
          <w:color w:val="000000" w:themeColor="text1"/>
          <w:sz w:val="30"/>
          <w:szCs w:val="30"/>
          <w14:textFill>
            <w14:solidFill>
              <w14:schemeClr w14:val="tx1"/>
            </w14:solidFill>
          </w14:textFill>
        </w:rPr>
      </w:pPr>
      <w:r>
        <w:rPr>
          <w:rFonts w:ascii="Times New Roman" w:hAnsi="Times New Roman" w:eastAsia="宋体" w:cs="Times New Roman"/>
          <w:b/>
          <w:bCs/>
          <w:color w:val="000000" w:themeColor="text1"/>
          <w:sz w:val="30"/>
          <w:szCs w:val="30"/>
          <w14:textFill>
            <w14:solidFill>
              <w14:schemeClr w14:val="tx1"/>
            </w14:solidFill>
          </w14:textFill>
        </w:rPr>
        <w:t>2022年11月</w:t>
      </w:r>
    </w:p>
    <w:p>
      <w:pPr>
        <w:rPr>
          <w:rFonts w:ascii="Times New Roman" w:hAnsi="Times New Roman" w:eastAsia="宋体" w:cs="Times New Roman"/>
          <w:color w:val="00B0F0"/>
          <w:sz w:val="28"/>
          <w:szCs w:val="28"/>
          <w:highlight w:val="cyan"/>
        </w:rPr>
      </w:pPr>
    </w:p>
    <w:p>
      <w:pPr>
        <w:rPr>
          <w:rFonts w:ascii="Times New Roman" w:hAnsi="Times New Roman" w:eastAsia="宋体" w:cs="Times New Roman"/>
        </w:rPr>
        <w:sectPr>
          <w:pgSz w:w="11906" w:h="16838"/>
          <w:pgMar w:top="1440" w:right="1800" w:bottom="1440" w:left="1800" w:header="851" w:footer="992" w:gutter="0"/>
          <w:cols w:space="425" w:num="1"/>
          <w:docGrid w:type="lines" w:linePitch="312" w:charSpace="0"/>
        </w:sectPr>
      </w:pPr>
    </w:p>
    <w:p>
      <w:pPr>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建设单位法人代表：</w:t>
      </w:r>
      <w:r>
        <w:rPr>
          <w:rFonts w:hint="eastAsia" w:ascii="Times New Roman" w:hAnsi="Times New Roman" w:eastAsia="宋体" w:cs="Times New Roman"/>
          <w:color w:val="000000" w:themeColor="text1"/>
          <w:sz w:val="28"/>
          <w:szCs w:val="28"/>
          <w14:textFill>
            <w14:solidFill>
              <w14:schemeClr w14:val="tx1"/>
            </w14:solidFill>
          </w14:textFill>
        </w:rPr>
        <w:t>杨进</w:t>
      </w:r>
    </w:p>
    <w:p>
      <w:pPr>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编制单位法人代表：</w:t>
      </w:r>
      <w:r>
        <w:rPr>
          <w:rFonts w:hint="eastAsia" w:ascii="Times New Roman" w:hAnsi="Times New Roman" w:eastAsia="宋体" w:cs="Times New Roman"/>
          <w:color w:val="000000" w:themeColor="text1"/>
          <w:sz w:val="28"/>
          <w:szCs w:val="28"/>
          <w14:textFill>
            <w14:solidFill>
              <w14:schemeClr w14:val="tx1"/>
            </w14:solidFill>
          </w14:textFill>
        </w:rPr>
        <w:t>方涛</w:t>
      </w:r>
      <w:r>
        <w:rPr>
          <w:rFonts w:ascii="Times New Roman" w:hAnsi="Times New Roman" w:eastAsia="宋体" w:cs="Times New Roman"/>
          <w:color w:val="000000" w:themeColor="text1"/>
          <w:sz w:val="28"/>
          <w:szCs w:val="28"/>
          <w14:textFill>
            <w14:solidFill>
              <w14:schemeClr w14:val="tx1"/>
            </w14:solidFill>
          </w14:textFill>
        </w:rPr>
        <w:tab/>
      </w:r>
    </w:p>
    <w:p>
      <w:pPr>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sz w:val="28"/>
          <w:szCs w:val="28"/>
          <w14:textFill>
            <w14:solidFill>
              <w14:schemeClr w14:val="tx1"/>
            </w14:solidFill>
          </w14:textFill>
        </w:rPr>
        <w:t>项  目  负  责  人：</w:t>
      </w:r>
      <w:r>
        <w:rPr>
          <w:rFonts w:hint="eastAsia" w:ascii="Times New Roman" w:hAnsi="Times New Roman" w:eastAsia="宋体" w:cs="Times New Roman"/>
          <w:color w:val="000000" w:themeColor="text1"/>
          <w:sz w:val="28"/>
          <w:szCs w:val="28"/>
          <w14:textFill>
            <w14:solidFill>
              <w14:schemeClr w14:val="tx1"/>
            </w14:solidFill>
          </w14:textFill>
        </w:rPr>
        <w:t>许钊</w:t>
      </w:r>
    </w:p>
    <w:p>
      <w:pPr>
        <w:rPr>
          <w:rFonts w:ascii="Times New Roman" w:hAnsi="Times New Roman" w:eastAsia="宋体" w:cs="Times New Roman"/>
          <w:color w:val="000000" w:themeColor="text1"/>
          <w:sz w:val="28"/>
          <w:szCs w:val="28"/>
          <w14:textFill>
            <w14:solidFill>
              <w14:schemeClr w14:val="tx1"/>
            </w14:solidFill>
          </w14:textFill>
        </w:rPr>
      </w:pPr>
      <w:r>
        <w:rPr>
          <w:rFonts w:hint="eastAsia" w:ascii="Times New Roman" w:hAnsi="Times New Roman" w:eastAsia="宋体" w:cs="Times New Roman"/>
          <w:color w:val="000000" w:themeColor="text1"/>
          <w:sz w:val="28"/>
          <w:szCs w:val="28"/>
          <w14:textFill>
            <w14:solidFill>
              <w14:schemeClr w14:val="tx1"/>
            </w14:solidFill>
          </w14:textFill>
        </w:rPr>
        <w:t xml:space="preserve">填 </w:t>
      </w:r>
      <w:r>
        <w:rPr>
          <w:rFonts w:ascii="Times New Roman" w:hAnsi="Times New Roman" w:eastAsia="宋体" w:cs="Times New Roman"/>
          <w:color w:val="000000" w:themeColor="text1"/>
          <w:sz w:val="28"/>
          <w:szCs w:val="28"/>
          <w14:textFill>
            <w14:solidFill>
              <w14:schemeClr w14:val="tx1"/>
            </w14:solidFill>
          </w14:textFill>
        </w:rPr>
        <w:t xml:space="preserve">     </w:t>
      </w:r>
      <w:r>
        <w:rPr>
          <w:rFonts w:hint="eastAsia" w:ascii="Times New Roman" w:hAnsi="Times New Roman" w:eastAsia="宋体" w:cs="Times New Roman"/>
          <w:color w:val="000000" w:themeColor="text1"/>
          <w:sz w:val="28"/>
          <w:szCs w:val="28"/>
          <w14:textFill>
            <w14:solidFill>
              <w14:schemeClr w14:val="tx1"/>
            </w14:solidFill>
          </w14:textFill>
        </w:rPr>
        <w:t>表</w:t>
      </w:r>
      <w:r>
        <w:rPr>
          <w:rFonts w:ascii="Times New Roman" w:hAnsi="Times New Roman" w:eastAsia="宋体" w:cs="Times New Roman"/>
          <w:color w:val="000000" w:themeColor="text1"/>
          <w:sz w:val="28"/>
          <w:szCs w:val="28"/>
          <w14:textFill>
            <w14:solidFill>
              <w14:schemeClr w14:val="tx1"/>
            </w14:solidFill>
          </w14:textFill>
        </w:rPr>
        <w:t xml:space="preserve">      人：</w:t>
      </w:r>
      <w:r>
        <w:rPr>
          <w:rFonts w:hint="eastAsia" w:ascii="Times New Roman" w:hAnsi="Times New Roman" w:eastAsia="宋体" w:cs="Times New Roman"/>
          <w:color w:val="000000" w:themeColor="text1"/>
          <w:sz w:val="28"/>
          <w:szCs w:val="28"/>
          <w14:textFill>
            <w14:solidFill>
              <w14:schemeClr w14:val="tx1"/>
            </w14:solidFill>
          </w14:textFill>
        </w:rPr>
        <w:t>许钊</w:t>
      </w:r>
    </w:p>
    <w:p>
      <w:pPr>
        <w:rPr>
          <w:rFonts w:ascii="Times New Roman" w:hAnsi="Times New Roman" w:eastAsia="宋体" w:cs="Times New Roman"/>
          <w:color w:val="000000" w:themeColor="text1"/>
          <w:sz w:val="28"/>
          <w:szCs w:val="28"/>
          <w:highlight w:val="cyan"/>
          <w14:textFill>
            <w14:solidFill>
              <w14:schemeClr w14:val="tx1"/>
            </w14:solidFill>
          </w14:textFill>
        </w:rPr>
      </w:pPr>
    </w:p>
    <w:p>
      <w:pPr>
        <w:rPr>
          <w:rFonts w:ascii="Times New Roman" w:hAnsi="Times New Roman" w:eastAsia="宋体" w:cs="Times New Roman"/>
          <w:color w:val="000000" w:themeColor="text1"/>
          <w:sz w:val="28"/>
          <w:szCs w:val="28"/>
          <w:highlight w:val="cyan"/>
          <w14:textFill>
            <w14:solidFill>
              <w14:schemeClr w14:val="tx1"/>
            </w14:solidFill>
          </w14:textFill>
        </w:rPr>
      </w:pPr>
    </w:p>
    <w:p>
      <w:pPr>
        <w:rPr>
          <w:rFonts w:ascii="Times New Roman" w:hAnsi="Times New Roman" w:eastAsia="宋体" w:cs="Times New Roman"/>
          <w:color w:val="000000" w:themeColor="text1"/>
          <w:sz w:val="28"/>
          <w:szCs w:val="28"/>
          <w:highlight w:val="cyan"/>
          <w14:textFill>
            <w14:solidFill>
              <w14:schemeClr w14:val="tx1"/>
            </w14:solidFill>
          </w14:textFill>
        </w:rPr>
      </w:pPr>
    </w:p>
    <w:p>
      <w:pPr>
        <w:rPr>
          <w:rFonts w:ascii="Times New Roman" w:hAnsi="Times New Roman" w:eastAsia="宋体" w:cs="Times New Roman"/>
          <w:color w:val="000000" w:themeColor="text1"/>
          <w:sz w:val="28"/>
          <w:szCs w:val="28"/>
          <w:highlight w:val="cyan"/>
          <w14:textFill>
            <w14:solidFill>
              <w14:schemeClr w14:val="tx1"/>
            </w14:solidFill>
          </w14:textFill>
        </w:rPr>
      </w:pPr>
    </w:p>
    <w:p>
      <w:pPr>
        <w:rPr>
          <w:rFonts w:ascii="Times New Roman" w:hAnsi="Times New Roman" w:eastAsia="宋体" w:cs="Times New Roman"/>
          <w:color w:val="000000" w:themeColor="text1"/>
          <w:sz w:val="28"/>
          <w:szCs w:val="28"/>
          <w:highlight w:val="cyan"/>
          <w14:textFill>
            <w14:solidFill>
              <w14:schemeClr w14:val="tx1"/>
            </w14:solidFill>
          </w14:textFill>
        </w:rPr>
      </w:pPr>
    </w:p>
    <w:p>
      <w:pPr>
        <w:rPr>
          <w:rFonts w:ascii="Times New Roman" w:hAnsi="Times New Roman" w:eastAsia="宋体" w:cs="Times New Roman"/>
          <w:color w:val="000000" w:themeColor="text1"/>
          <w:sz w:val="28"/>
          <w:szCs w:val="28"/>
          <w:highlight w:val="cyan"/>
          <w14:textFill>
            <w14:solidFill>
              <w14:schemeClr w14:val="tx1"/>
            </w14:solidFill>
          </w14:textFill>
        </w:rPr>
      </w:pPr>
    </w:p>
    <w:p>
      <w:pPr>
        <w:rPr>
          <w:rFonts w:ascii="Times New Roman" w:hAnsi="Times New Roman" w:eastAsia="宋体" w:cs="Times New Roman"/>
          <w:color w:val="000000" w:themeColor="text1"/>
          <w:sz w:val="28"/>
          <w:szCs w:val="28"/>
          <w:highlight w:val="cyan"/>
          <w14:textFill>
            <w14:solidFill>
              <w14:schemeClr w14:val="tx1"/>
            </w14:solidFill>
          </w14:textFill>
        </w:rPr>
      </w:pPr>
    </w:p>
    <w:p>
      <w:pPr>
        <w:rPr>
          <w:rFonts w:ascii="Times New Roman" w:hAnsi="Times New Roman" w:eastAsia="宋体" w:cs="Times New Roman"/>
          <w:color w:val="000000" w:themeColor="text1"/>
          <w:sz w:val="28"/>
          <w:szCs w:val="28"/>
          <w:highlight w:val="cyan"/>
          <w14:textFill>
            <w14:solidFill>
              <w14:schemeClr w14:val="tx1"/>
            </w14:solidFill>
          </w14:textFill>
        </w:rPr>
      </w:pPr>
    </w:p>
    <w:tbl>
      <w:tblPr>
        <w:tblStyle w:val="17"/>
        <w:tblpPr w:leftFromText="180" w:rightFromText="180" w:vertAnchor="text" w:horzAnchor="page" w:tblpX="1681" w:tblpY="292"/>
        <w:tblOverlap w:val="never"/>
        <w:tblW w:w="87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0"/>
        <w:gridCol w:w="4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shd w:val="clear" w:color="auto" w:fill="FFFFFF" w:themeFill="background1"/>
            <w:vAlign w:val="center"/>
          </w:tcPr>
          <w:p>
            <w:pPr>
              <w:rPr>
                <w:rFonts w:ascii="Times New Roman" w:hAnsi="Times New Roman" w:eastAsia="宋体" w:cs="Times New Roman"/>
                <w:b/>
                <w:bCs/>
                <w:color w:val="000000"/>
                <w:kern w:val="0"/>
                <w:sz w:val="28"/>
              </w:rPr>
            </w:pPr>
            <w:r>
              <w:rPr>
                <w:rFonts w:ascii="Times New Roman" w:hAnsi="Times New Roman" w:eastAsia="宋体" w:cs="Times New Roman"/>
                <w:color w:val="000000"/>
                <w:kern w:val="0"/>
                <w:sz w:val="28"/>
              </w:rPr>
              <w:t>建设单位</w:t>
            </w:r>
            <w:r>
              <w:rPr>
                <w:rFonts w:hint="eastAsia" w:ascii="Times New Roman" w:hAnsi="Times New Roman" w:eastAsia="宋体" w:cs="Times New Roman"/>
                <w:color w:val="000000"/>
                <w:kern w:val="0"/>
                <w:sz w:val="28"/>
              </w:rPr>
              <w:t xml:space="preserve"> </w:t>
            </w:r>
            <w:r>
              <w:rPr>
                <w:rFonts w:ascii="Times New Roman" w:hAnsi="Times New Roman" w:eastAsia="宋体" w:cs="Times New Roman"/>
                <w:color w:val="000000"/>
                <w:kern w:val="0"/>
                <w:sz w:val="28"/>
              </w:rPr>
              <w:t xml:space="preserve">    （盖章）</w:t>
            </w:r>
          </w:p>
        </w:tc>
        <w:tc>
          <w:tcPr>
            <w:tcW w:w="4360" w:type="dxa"/>
            <w:tcBorders>
              <w:tl2br w:val="nil"/>
              <w:tr2bl w:val="nil"/>
            </w:tcBorders>
            <w:shd w:val="clear" w:color="auto" w:fill="FFFFFF" w:themeFill="background1"/>
            <w:vAlign w:val="center"/>
          </w:tcPr>
          <w:p>
            <w:pPr>
              <w:rPr>
                <w:rFonts w:ascii="Times New Roman" w:hAnsi="Times New Roman" w:eastAsia="宋体" w:cs="Times New Roman"/>
                <w:b/>
                <w:bCs/>
                <w:color w:val="000000"/>
                <w:kern w:val="0"/>
                <w:sz w:val="28"/>
              </w:rPr>
            </w:pPr>
            <w:r>
              <w:rPr>
                <w:rFonts w:ascii="Times New Roman" w:hAnsi="Times New Roman" w:eastAsia="宋体" w:cs="Times New Roman"/>
                <w:color w:val="000000"/>
                <w:kern w:val="0"/>
                <w:sz w:val="28"/>
              </w:rPr>
              <w:t>编制单位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shd w:val="clear" w:color="auto" w:fill="FFFFFF" w:themeFill="background1"/>
            <w:vAlign w:val="center"/>
          </w:tcPr>
          <w:p>
            <w:pPr>
              <w:rPr>
                <w:rFonts w:ascii="Times New Roman" w:hAnsi="Times New Roman" w:eastAsia="宋体" w:cs="Times New Roman"/>
                <w:b/>
                <w:bCs/>
                <w:color w:val="000000"/>
                <w:kern w:val="0"/>
                <w:sz w:val="28"/>
                <w:highlight w:val="cyan"/>
              </w:rPr>
            </w:pPr>
            <w:r>
              <w:rPr>
                <w:rFonts w:ascii="Times New Roman" w:hAnsi="Times New Roman" w:eastAsia="宋体" w:cs="Times New Roman"/>
                <w:color w:val="000000"/>
                <w:kern w:val="0"/>
                <w:sz w:val="28"/>
              </w:rPr>
              <w:t>电话: 0515-83513313</w:t>
            </w:r>
          </w:p>
        </w:tc>
        <w:tc>
          <w:tcPr>
            <w:tcW w:w="4360" w:type="dxa"/>
            <w:tcBorders>
              <w:tl2br w:val="nil"/>
              <w:tr2bl w:val="nil"/>
            </w:tcBorders>
            <w:shd w:val="clear" w:color="auto" w:fill="FFFFFF" w:themeFill="background1"/>
            <w:vAlign w:val="center"/>
          </w:tcPr>
          <w:p>
            <w:pPr>
              <w:rPr>
                <w:rFonts w:ascii="Times New Roman" w:hAnsi="Times New Roman" w:eastAsia="宋体" w:cs="Times New Roman"/>
                <w:b/>
                <w:bCs/>
                <w:color w:val="000000"/>
                <w:kern w:val="0"/>
                <w:sz w:val="28"/>
              </w:rPr>
            </w:pPr>
            <w:r>
              <w:rPr>
                <w:rFonts w:ascii="Times New Roman" w:hAnsi="Times New Roman" w:eastAsia="宋体" w:cs="Times New Roman"/>
                <w:color w:val="000000"/>
                <w:kern w:val="0"/>
                <w:sz w:val="28"/>
              </w:rPr>
              <w:t>电话: 025-68568039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shd w:val="clear" w:color="auto" w:fill="FFFFFF" w:themeFill="background1"/>
            <w:vAlign w:val="center"/>
          </w:tcPr>
          <w:p>
            <w:pPr>
              <w:rPr>
                <w:rFonts w:ascii="Times New Roman" w:hAnsi="Times New Roman" w:eastAsia="宋体" w:cs="Times New Roman"/>
                <w:b/>
                <w:bCs/>
                <w:color w:val="000000"/>
                <w:kern w:val="0"/>
                <w:sz w:val="28"/>
              </w:rPr>
            </w:pPr>
            <w:r>
              <w:rPr>
                <w:rFonts w:ascii="Times New Roman" w:hAnsi="Times New Roman" w:eastAsia="宋体" w:cs="Times New Roman"/>
                <w:color w:val="000000"/>
                <w:kern w:val="0"/>
                <w:sz w:val="28"/>
              </w:rPr>
              <w:t>传真:---------</w:t>
            </w:r>
          </w:p>
        </w:tc>
        <w:tc>
          <w:tcPr>
            <w:tcW w:w="4360" w:type="dxa"/>
            <w:tcBorders>
              <w:tl2br w:val="nil"/>
              <w:tr2bl w:val="nil"/>
            </w:tcBorders>
            <w:shd w:val="clear" w:color="auto" w:fill="FFFFFF" w:themeFill="background1"/>
            <w:vAlign w:val="center"/>
          </w:tcPr>
          <w:p>
            <w:pPr>
              <w:rPr>
                <w:rFonts w:ascii="Times New Roman" w:hAnsi="Times New Roman" w:eastAsia="宋体" w:cs="Times New Roman"/>
                <w:b/>
                <w:bCs/>
                <w:color w:val="000000"/>
                <w:kern w:val="0"/>
                <w:sz w:val="28"/>
              </w:rPr>
            </w:pPr>
            <w:r>
              <w:rPr>
                <w:rFonts w:ascii="Times New Roman" w:hAnsi="Times New Roman" w:eastAsia="宋体" w:cs="Times New Roman"/>
                <w:color w:val="000000"/>
                <w:kern w:val="0"/>
                <w:sz w:val="28"/>
              </w:rPr>
              <w:t>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0" w:type="dxa"/>
            <w:tcBorders>
              <w:tl2br w:val="nil"/>
              <w:tr2bl w:val="nil"/>
            </w:tcBorders>
            <w:shd w:val="clear" w:color="auto" w:fill="FFFFFF" w:themeFill="background1"/>
            <w:vAlign w:val="center"/>
          </w:tcPr>
          <w:p>
            <w:pPr>
              <w:ind w:left="1155" w:hanging="1155"/>
              <w:jc w:val="left"/>
              <w:rPr>
                <w:rFonts w:ascii="Times New Roman" w:hAnsi="Times New Roman" w:eastAsia="宋体" w:cs="Times New Roman"/>
                <w:b/>
                <w:bCs/>
                <w:color w:val="000000"/>
                <w:kern w:val="0"/>
                <w:sz w:val="28"/>
              </w:rPr>
            </w:pPr>
            <w:r>
              <w:rPr>
                <w:rFonts w:ascii="Times New Roman" w:hAnsi="Times New Roman" w:eastAsia="宋体" w:cs="Times New Roman"/>
                <w:color w:val="000000"/>
                <w:kern w:val="0"/>
                <w:sz w:val="28"/>
              </w:rPr>
              <w:t xml:space="preserve">邮编: </w:t>
            </w:r>
            <w:r>
              <w:rPr>
                <w:rFonts w:ascii="Times New Roman" w:hAnsi="Times New Roman" w:eastAsia="宋体" w:cs="Times New Roman"/>
                <w:kern w:val="0"/>
                <w:sz w:val="28"/>
              </w:rPr>
              <w:t>224100</w:t>
            </w:r>
          </w:p>
        </w:tc>
        <w:tc>
          <w:tcPr>
            <w:tcW w:w="4360" w:type="dxa"/>
            <w:tcBorders>
              <w:tl2br w:val="nil"/>
              <w:tr2bl w:val="nil"/>
            </w:tcBorders>
            <w:shd w:val="clear" w:color="auto" w:fill="FFFFFF" w:themeFill="background1"/>
            <w:vAlign w:val="center"/>
          </w:tcPr>
          <w:p>
            <w:pPr>
              <w:rPr>
                <w:rFonts w:ascii="Times New Roman" w:hAnsi="Times New Roman" w:eastAsia="宋体" w:cs="Times New Roman"/>
                <w:b/>
                <w:bCs/>
                <w:color w:val="000000"/>
                <w:kern w:val="0"/>
                <w:sz w:val="28"/>
              </w:rPr>
            </w:pPr>
            <w:r>
              <w:rPr>
                <w:rFonts w:ascii="Times New Roman" w:hAnsi="Times New Roman" w:eastAsia="宋体" w:cs="Times New Roman"/>
                <w:color w:val="000000"/>
                <w:kern w:val="0"/>
                <w:sz w:val="28"/>
              </w:rPr>
              <w:t xml:space="preserve">邮编: </w:t>
            </w:r>
            <w:r>
              <w:rPr>
                <w:rFonts w:ascii="Times New Roman" w:hAnsi="Times New Roman" w:eastAsia="宋体" w:cs="Times New Roman"/>
                <w:kern w:val="0"/>
                <w:sz w:val="28"/>
              </w:rPr>
              <w:t>210046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6" w:hRule="atLeast"/>
        </w:trPr>
        <w:tc>
          <w:tcPr>
            <w:tcW w:w="4360" w:type="dxa"/>
            <w:tcBorders>
              <w:tl2br w:val="nil"/>
              <w:tr2bl w:val="nil"/>
            </w:tcBorders>
            <w:shd w:val="clear" w:color="auto" w:fill="FFFFFF" w:themeFill="background1"/>
            <w:tcMar>
              <w:top w:w="0" w:type="dxa"/>
              <w:left w:w="108" w:type="dxa"/>
              <w:bottom w:w="0" w:type="dxa"/>
              <w:right w:w="108" w:type="dxa"/>
            </w:tcMar>
            <w:vAlign w:val="center"/>
          </w:tcPr>
          <w:p>
            <w:pPr>
              <w:spacing w:line="0" w:lineRule="atLeast"/>
              <w:rPr>
                <w:rFonts w:ascii="Times New Roman" w:hAnsi="Times New Roman" w:eastAsia="宋体" w:cs="Times New Roman"/>
                <w:b/>
                <w:bCs/>
                <w:color w:val="000000"/>
                <w:kern w:val="0"/>
                <w:sz w:val="28"/>
                <w:highlight w:val="cyan"/>
              </w:rPr>
            </w:pPr>
            <w:r>
              <w:rPr>
                <w:rFonts w:ascii="Times New Roman" w:hAnsi="Times New Roman" w:eastAsia="宋体" w:cs="Times New Roman"/>
                <w:color w:val="000000"/>
                <w:kern w:val="0"/>
                <w:sz w:val="28"/>
              </w:rPr>
              <w:t>地址:</w:t>
            </w:r>
            <w:r>
              <w:rPr>
                <w:rFonts w:hint="eastAsia" w:ascii="Times New Roman" w:hAnsi="Times New Roman" w:eastAsia="宋体" w:cs="Times New Roman"/>
                <w:color w:val="000000"/>
                <w:kern w:val="0"/>
                <w:sz w:val="28"/>
              </w:rPr>
              <w:t>盐城市大丰区经济开发区南翔西路</w:t>
            </w:r>
            <w:r>
              <w:rPr>
                <w:rFonts w:ascii="Times New Roman" w:hAnsi="Times New Roman" w:eastAsia="宋体" w:cs="Times New Roman"/>
                <w:color w:val="000000"/>
                <w:kern w:val="0"/>
                <w:sz w:val="28"/>
              </w:rPr>
              <w:t>65号</w:t>
            </w:r>
          </w:p>
        </w:tc>
        <w:tc>
          <w:tcPr>
            <w:tcW w:w="4360" w:type="dxa"/>
            <w:tcBorders>
              <w:tl2br w:val="nil"/>
              <w:tr2bl w:val="nil"/>
            </w:tcBorders>
            <w:shd w:val="clear" w:color="auto" w:fill="FFFFFF" w:themeFill="background1"/>
            <w:vAlign w:val="center"/>
          </w:tcPr>
          <w:p>
            <w:pPr>
              <w:spacing w:line="0" w:lineRule="atLeast"/>
              <w:rPr>
                <w:rFonts w:ascii="Times New Roman" w:hAnsi="Times New Roman" w:eastAsia="宋体" w:cs="Times New Roman"/>
                <w:b/>
                <w:bCs/>
                <w:color w:val="000000"/>
                <w:kern w:val="0"/>
                <w:sz w:val="28"/>
              </w:rPr>
            </w:pPr>
            <w:r>
              <w:rPr>
                <w:rFonts w:ascii="Times New Roman" w:hAnsi="Times New Roman" w:eastAsia="宋体" w:cs="Times New Roman"/>
                <w:color w:val="000000"/>
                <w:kern w:val="0"/>
                <w:sz w:val="28"/>
              </w:rPr>
              <w:t>地址:</w:t>
            </w:r>
            <w:r>
              <w:rPr>
                <w:rFonts w:hint="eastAsia" w:ascii="Times New Roman" w:hAnsi="Times New Roman" w:eastAsia="宋体" w:cs="Times New Roman"/>
                <w:color w:val="000000"/>
                <w:kern w:val="0"/>
                <w:sz w:val="28"/>
              </w:rPr>
              <w:t>国家级南京经济技术开发区恒竞路</w:t>
            </w:r>
            <w:r>
              <w:rPr>
                <w:rFonts w:ascii="Times New Roman" w:hAnsi="Times New Roman" w:eastAsia="宋体" w:cs="Times New Roman"/>
                <w:color w:val="000000"/>
                <w:kern w:val="0"/>
                <w:sz w:val="28"/>
              </w:rPr>
              <w:t>27号</w:t>
            </w:r>
          </w:p>
        </w:tc>
      </w:tr>
    </w:tbl>
    <w:p>
      <w:pPr>
        <w:outlineLvl w:val="0"/>
        <w:rPr>
          <w:rFonts w:ascii="Times New Roman" w:hAnsi="Times New Roman" w:eastAsia="宋体" w:cs="Times New Roman"/>
          <w:b/>
          <w:bCs/>
          <w:color w:val="000000" w:themeColor="text1"/>
          <w:sz w:val="28"/>
          <w:szCs w:val="28"/>
          <w14:textFill>
            <w14:solidFill>
              <w14:schemeClr w14:val="tx1"/>
            </w14:solidFill>
          </w14:textFill>
        </w:rPr>
      </w:pPr>
    </w:p>
    <w:p>
      <w:pPr>
        <w:widowControl/>
        <w:jc w:val="left"/>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br w:type="page"/>
      </w:r>
    </w:p>
    <w:p>
      <w:pPr>
        <w:outlineLvl w:val="0"/>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 xml:space="preserve">表一 </w:t>
      </w:r>
      <w:r>
        <w:rPr>
          <w:rFonts w:hint="eastAsia" w:ascii="Times New Roman" w:hAnsi="Times New Roman" w:eastAsia="宋体" w:cs="Times New Roman"/>
          <w:b/>
          <w:bCs/>
          <w:color w:val="000000" w:themeColor="text1"/>
          <w:sz w:val="28"/>
          <w:szCs w:val="28"/>
          <w14:textFill>
            <w14:solidFill>
              <w14:schemeClr w14:val="tx1"/>
            </w14:solidFill>
          </w14:textFill>
        </w:rPr>
        <w:t xml:space="preserve">项目基本情况 </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995"/>
        <w:gridCol w:w="971"/>
        <w:gridCol w:w="1101"/>
        <w:gridCol w:w="670"/>
        <w:gridCol w:w="508"/>
        <w:gridCol w:w="709"/>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建设项目名称</w:t>
            </w:r>
          </w:p>
        </w:tc>
        <w:tc>
          <w:tcPr>
            <w:tcW w:w="7318" w:type="dxa"/>
            <w:gridSpan w:val="7"/>
            <w:vAlign w:val="center"/>
          </w:tcPr>
          <w:p>
            <w:pPr>
              <w:pStyle w:val="9"/>
              <w:adjustRightInd w:val="0"/>
              <w:snapToGrid w:val="0"/>
              <w:jc w:val="center"/>
              <w:rPr>
                <w:rFonts w:ascii="Times New Roman" w:hAnsi="Times New Roman" w:eastAsia="宋体" w:cs="Times New Roman"/>
                <w:color w:val="00B0F0"/>
                <w:sz w:val="24"/>
                <w:szCs w:val="24"/>
              </w:rPr>
            </w:pPr>
            <w:r>
              <w:rPr>
                <w:rFonts w:hint="eastAsia" w:ascii="Times New Roman" w:hAnsi="Times New Roman" w:eastAsia="宋体" w:cs="Times New Roman"/>
                <w:color w:val="000000" w:themeColor="text1"/>
                <w:sz w:val="24"/>
                <w:szCs w:val="24"/>
                <w14:textFill>
                  <w14:solidFill>
                    <w14:schemeClr w14:val="tx1"/>
                  </w14:solidFill>
                </w14:textFill>
              </w:rPr>
              <w:t>江苏乐开机电有限公司冷锻产品和模具加工建设项目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建设单位名称</w:t>
            </w:r>
          </w:p>
        </w:tc>
        <w:tc>
          <w:tcPr>
            <w:tcW w:w="7318" w:type="dxa"/>
            <w:gridSpan w:val="7"/>
            <w:vAlign w:val="center"/>
          </w:tcPr>
          <w:p>
            <w:pPr>
              <w:pStyle w:val="9"/>
              <w:adjustRightInd w:val="0"/>
              <w:snapToGrid w:val="0"/>
              <w:jc w:val="center"/>
              <w:rPr>
                <w:rFonts w:ascii="Times New Roman" w:hAnsi="Times New Roman" w:eastAsia="宋体" w:cs="Times New Roman"/>
                <w:color w:val="00B0F0"/>
                <w:sz w:val="24"/>
                <w:szCs w:val="24"/>
              </w:rPr>
            </w:pPr>
            <w:r>
              <w:rPr>
                <w:rFonts w:hint="eastAsia" w:ascii="Times New Roman" w:hAnsi="Times New Roman" w:eastAsia="宋体" w:cs="Times New Roman"/>
                <w:color w:val="000000" w:themeColor="text1"/>
                <w:sz w:val="24"/>
                <w:szCs w:val="24"/>
                <w14:textFill>
                  <w14:solidFill>
                    <w14:schemeClr w14:val="tx1"/>
                  </w14:solidFill>
                </w14:textFill>
              </w:rPr>
              <w:t>江苏乐开机电有限公司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建设项目性质</w:t>
            </w:r>
          </w:p>
        </w:tc>
        <w:tc>
          <w:tcPr>
            <w:tcW w:w="7318" w:type="dxa"/>
            <w:gridSpan w:val="7"/>
            <w:vAlign w:val="center"/>
          </w:tcPr>
          <w:p>
            <w:pPr>
              <w:adjustRightInd w:val="0"/>
              <w:snapToGrid w:val="0"/>
              <w:jc w:val="center"/>
              <w:rPr>
                <w:rFonts w:ascii="Times New Roman" w:hAnsi="Times New Roman" w:eastAsia="宋体" w:cs="Times New Roman"/>
                <w:color w:val="00B0F0"/>
                <w:sz w:val="24"/>
              </w:rPr>
            </w:pPr>
            <w:r>
              <w:rPr>
                <w:rFonts w:ascii="Times New Roman" w:hAnsi="Times New Roman" w:eastAsia="宋体" w:cs="Times New Roman"/>
                <w:color w:val="000000" w:themeColor="text1"/>
                <w:sz w:val="24"/>
                <w14:textFill>
                  <w14:solidFill>
                    <w14:schemeClr w14:val="tx1"/>
                  </w14:solidFill>
                </w14:textFill>
              </w:rPr>
              <w:t xml:space="preserve">新建    </w:t>
            </w:r>
            <w:r>
              <w:rPr>
                <w:rFonts w:ascii="Times New Roman" w:hAnsi="Times New Roman" w:eastAsia="宋体" w:cs="Times New Roman"/>
                <w:color w:val="000000" w:themeColor="text1"/>
                <w:sz w:val="24"/>
                <w:lang w:val="zh-CN"/>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改扩建    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建设项目地址</w:t>
            </w:r>
          </w:p>
        </w:tc>
        <w:tc>
          <w:tcPr>
            <w:tcW w:w="7318" w:type="dxa"/>
            <w:gridSpan w:val="7"/>
            <w:vAlign w:val="center"/>
          </w:tcPr>
          <w:p>
            <w:pPr>
              <w:adjustRightInd w:val="0"/>
              <w:jc w:val="center"/>
              <w:rPr>
                <w:rFonts w:ascii="Times New Roman" w:hAnsi="Times New Roman" w:eastAsia="宋体" w:cs="Times New Roman"/>
                <w:szCs w:val="21"/>
                <w:lang w:val="zh-CN"/>
              </w:rPr>
            </w:pPr>
            <w:r>
              <w:rPr>
                <w:rFonts w:hint="eastAsia" w:ascii="Times New Roman" w:hAnsi="Times New Roman" w:eastAsia="宋体" w:cs="Times New Roman"/>
                <w:color w:val="000000" w:themeColor="text1"/>
                <w:sz w:val="24"/>
                <w14:textFill>
                  <w14:solidFill>
                    <w14:schemeClr w14:val="tx1"/>
                  </w14:solidFill>
                </w14:textFill>
              </w:rPr>
              <w:t>盐城市大丰区经济开发区南翔西路</w:t>
            </w:r>
            <w:r>
              <w:rPr>
                <w:rFonts w:ascii="Times New Roman" w:hAnsi="Times New Roman" w:eastAsia="宋体" w:cs="Times New Roman"/>
                <w:color w:val="000000" w:themeColor="text1"/>
                <w:sz w:val="24"/>
                <w14:textFill>
                  <w14:solidFill>
                    <w14:schemeClr w14:val="tx1"/>
                  </w14:solidFill>
                </w14:textFill>
              </w:rPr>
              <w:t>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主要产品名称</w:t>
            </w:r>
          </w:p>
        </w:tc>
        <w:tc>
          <w:tcPr>
            <w:tcW w:w="7318" w:type="dxa"/>
            <w:gridSpan w:val="7"/>
            <w:shd w:val="clear" w:color="auto" w:fill="auto"/>
            <w:vAlign w:val="center"/>
          </w:tcPr>
          <w:p>
            <w:pPr>
              <w:adjustRightInd w:val="0"/>
              <w:snapToGrid w:val="0"/>
              <w:jc w:val="center"/>
              <w:rPr>
                <w:rFonts w:ascii="Times New Roman" w:hAnsi="Times New Roman" w:eastAsia="宋体" w:cs="Times New Roman"/>
                <w:color w:val="00B0F0"/>
                <w:sz w:val="24"/>
              </w:rPr>
            </w:pPr>
            <w:r>
              <w:rPr>
                <w:rFonts w:hint="eastAsia" w:ascii="Times New Roman" w:hAnsi="Times New Roman" w:eastAsia="宋体" w:cs="Times New Roman"/>
                <w:color w:val="000000" w:themeColor="text1"/>
                <w:sz w:val="24"/>
                <w14:textFill>
                  <w14:solidFill>
                    <w14:schemeClr w14:val="tx1"/>
                  </w14:solidFill>
                </w14:textFill>
              </w:rPr>
              <w:t>冷锻产品和模具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exact"/>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设计生产能力</w:t>
            </w:r>
          </w:p>
        </w:tc>
        <w:tc>
          <w:tcPr>
            <w:tcW w:w="7318" w:type="dxa"/>
            <w:gridSpan w:val="7"/>
            <w:vAlign w:val="center"/>
          </w:tcPr>
          <w:p>
            <w:pPr>
              <w:adjustRightInd w:val="0"/>
              <w:snapToGrid w:val="0"/>
              <w:jc w:val="center"/>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年产</w:t>
            </w:r>
            <w:r>
              <w:rPr>
                <w:rFonts w:ascii="Times New Roman" w:hAnsi="Times New Roman" w:eastAsia="宋体" w:cs="Times New Roman"/>
                <w:color w:val="000000" w:themeColor="text1"/>
                <w:sz w:val="24"/>
                <w14:textFill>
                  <w14:solidFill>
                    <w14:schemeClr w14:val="tx1"/>
                  </w14:solidFill>
                </w14:textFill>
              </w:rPr>
              <w:t>3000</w:t>
            </w:r>
            <w:r>
              <w:rPr>
                <w:rFonts w:hint="eastAsia" w:ascii="Times New Roman" w:hAnsi="Times New Roman" w:eastAsia="宋体" w:cs="Times New Roman"/>
                <w:color w:val="000000" w:themeColor="text1"/>
                <w:sz w:val="24"/>
                <w14:textFill>
                  <w14:solidFill>
                    <w14:schemeClr w14:val="tx1"/>
                  </w14:solidFill>
                </w14:textFill>
              </w:rPr>
              <w:t>吨/年模具材料（包括7</w:t>
            </w:r>
            <w:r>
              <w:rPr>
                <w:rFonts w:ascii="Times New Roman" w:hAnsi="Times New Roman" w:eastAsia="宋体" w:cs="Times New Roman"/>
                <w:color w:val="000000" w:themeColor="text1"/>
                <w:sz w:val="24"/>
                <w14:textFill>
                  <w14:solidFill>
                    <w14:schemeClr w14:val="tx1"/>
                  </w14:solidFill>
                </w14:textFill>
              </w:rPr>
              <w:t>00</w:t>
            </w:r>
            <w:r>
              <w:rPr>
                <w:rFonts w:hint="eastAsia" w:ascii="Times New Roman" w:hAnsi="Times New Roman" w:eastAsia="宋体" w:cs="Times New Roman"/>
                <w:color w:val="000000" w:themeColor="text1"/>
                <w:sz w:val="24"/>
                <w14:textFill>
                  <w14:solidFill>
                    <w14:schemeClr w14:val="tx1"/>
                  </w14:solidFill>
                </w14:textFill>
              </w:rPr>
              <w:t>万件活塞、1</w:t>
            </w:r>
            <w:r>
              <w:rPr>
                <w:rFonts w:ascii="Times New Roman" w:hAnsi="Times New Roman" w:eastAsia="宋体" w:cs="Times New Roman"/>
                <w:color w:val="000000" w:themeColor="text1"/>
                <w:sz w:val="24"/>
                <w14:textFill>
                  <w14:solidFill>
                    <w14:schemeClr w14:val="tx1"/>
                  </w14:solidFill>
                </w14:textFill>
              </w:rPr>
              <w:t>50</w:t>
            </w:r>
            <w:r>
              <w:rPr>
                <w:rFonts w:hint="eastAsia" w:ascii="Times New Roman" w:hAnsi="Times New Roman" w:eastAsia="宋体" w:cs="Times New Roman"/>
                <w:color w:val="000000" w:themeColor="text1"/>
                <w:sz w:val="24"/>
                <w14:textFill>
                  <w14:solidFill>
                    <w14:schemeClr w14:val="tx1"/>
                  </w14:solidFill>
                </w14:textFill>
              </w:rPr>
              <w:t>件注塞帽、7</w:t>
            </w:r>
            <w:r>
              <w:rPr>
                <w:rFonts w:ascii="Times New Roman" w:hAnsi="Times New Roman" w:eastAsia="宋体" w:cs="Times New Roman"/>
                <w:color w:val="000000" w:themeColor="text1"/>
                <w:sz w:val="24"/>
                <w14:textFill>
                  <w14:solidFill>
                    <w14:schemeClr w14:val="tx1"/>
                  </w14:solidFill>
                </w14:textFill>
              </w:rPr>
              <w:t>0</w:t>
            </w:r>
            <w:r>
              <w:rPr>
                <w:rFonts w:hint="eastAsia" w:ascii="Times New Roman" w:hAnsi="Times New Roman" w:eastAsia="宋体" w:cs="Times New Roman"/>
                <w:color w:val="000000" w:themeColor="text1"/>
                <w:sz w:val="24"/>
                <w14:textFill>
                  <w14:solidFill>
                    <w14:schemeClr w14:val="tx1"/>
                  </w14:solidFill>
                </w14:textFill>
              </w:rPr>
              <w:t>万件万件转子）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实际生产能力</w:t>
            </w:r>
          </w:p>
        </w:tc>
        <w:tc>
          <w:tcPr>
            <w:tcW w:w="7318" w:type="dxa"/>
            <w:gridSpan w:val="7"/>
            <w:vAlign w:val="center"/>
          </w:tcPr>
          <w:p>
            <w:pPr>
              <w:adjustRightInd w:val="0"/>
              <w:snapToGrid w:val="0"/>
              <w:jc w:val="center"/>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年产</w:t>
            </w:r>
            <w:r>
              <w:rPr>
                <w:rFonts w:ascii="Times New Roman" w:hAnsi="Times New Roman" w:eastAsia="宋体" w:cs="Times New Roman"/>
                <w:color w:val="000000" w:themeColor="text1"/>
                <w:sz w:val="24"/>
                <w14:textFill>
                  <w14:solidFill>
                    <w14:schemeClr w14:val="tx1"/>
                  </w14:solidFill>
                </w14:textFill>
              </w:rPr>
              <w:t>3000</w:t>
            </w:r>
            <w:r>
              <w:rPr>
                <w:rFonts w:hint="eastAsia" w:ascii="Times New Roman" w:hAnsi="Times New Roman" w:eastAsia="宋体" w:cs="Times New Roman"/>
                <w:color w:val="000000" w:themeColor="text1"/>
                <w:sz w:val="24"/>
                <w14:textFill>
                  <w14:solidFill>
                    <w14:schemeClr w14:val="tx1"/>
                  </w14:solidFill>
                </w14:textFill>
              </w:rPr>
              <w:t>吨/年模具材料（包括7</w:t>
            </w:r>
            <w:r>
              <w:rPr>
                <w:rFonts w:ascii="Times New Roman" w:hAnsi="Times New Roman" w:eastAsia="宋体" w:cs="Times New Roman"/>
                <w:color w:val="000000" w:themeColor="text1"/>
                <w:sz w:val="24"/>
                <w14:textFill>
                  <w14:solidFill>
                    <w14:schemeClr w14:val="tx1"/>
                  </w14:solidFill>
                </w14:textFill>
              </w:rPr>
              <w:t>00</w:t>
            </w:r>
            <w:r>
              <w:rPr>
                <w:rFonts w:hint="eastAsia" w:ascii="Times New Roman" w:hAnsi="Times New Roman" w:eastAsia="宋体" w:cs="Times New Roman"/>
                <w:color w:val="000000" w:themeColor="text1"/>
                <w:sz w:val="24"/>
                <w14:textFill>
                  <w14:solidFill>
                    <w14:schemeClr w14:val="tx1"/>
                  </w14:solidFill>
                </w14:textFill>
              </w:rPr>
              <w:t>万件活塞、1</w:t>
            </w:r>
            <w:r>
              <w:rPr>
                <w:rFonts w:ascii="Times New Roman" w:hAnsi="Times New Roman" w:eastAsia="宋体" w:cs="Times New Roman"/>
                <w:color w:val="000000" w:themeColor="text1"/>
                <w:sz w:val="24"/>
                <w14:textFill>
                  <w14:solidFill>
                    <w14:schemeClr w14:val="tx1"/>
                  </w14:solidFill>
                </w14:textFill>
              </w:rPr>
              <w:t>50</w:t>
            </w:r>
            <w:r>
              <w:rPr>
                <w:rFonts w:hint="eastAsia" w:ascii="Times New Roman" w:hAnsi="Times New Roman" w:eastAsia="宋体" w:cs="Times New Roman"/>
                <w:color w:val="000000" w:themeColor="text1"/>
                <w:sz w:val="24"/>
                <w14:textFill>
                  <w14:solidFill>
                    <w14:schemeClr w14:val="tx1"/>
                  </w14:solidFill>
                </w14:textFill>
              </w:rPr>
              <w:t>件注塞帽、7</w:t>
            </w:r>
            <w:r>
              <w:rPr>
                <w:rFonts w:ascii="Times New Roman" w:hAnsi="Times New Roman" w:eastAsia="宋体" w:cs="Times New Roman"/>
                <w:color w:val="000000" w:themeColor="text1"/>
                <w:sz w:val="24"/>
                <w14:textFill>
                  <w14:solidFill>
                    <w14:schemeClr w14:val="tx1"/>
                  </w14:solidFill>
                </w14:textFill>
              </w:rPr>
              <w:t>0</w:t>
            </w:r>
            <w:r>
              <w:rPr>
                <w:rFonts w:hint="eastAsia" w:ascii="Times New Roman" w:hAnsi="Times New Roman" w:eastAsia="宋体" w:cs="Times New Roman"/>
                <w:color w:val="000000" w:themeColor="text1"/>
                <w:sz w:val="24"/>
                <w14:textFill>
                  <w14:solidFill>
                    <w14:schemeClr w14:val="tx1"/>
                  </w14:solidFill>
                </w14:textFill>
              </w:rPr>
              <w:t>万件万件转子）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建设项目环评时间</w:t>
            </w:r>
          </w:p>
        </w:tc>
        <w:tc>
          <w:tcPr>
            <w:tcW w:w="2966" w:type="dxa"/>
            <w:gridSpan w:val="2"/>
            <w:vAlign w:val="center"/>
          </w:tcPr>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2021年10月11日</w:t>
            </w:r>
          </w:p>
          <w:p>
            <w:pPr>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（批复时间）</w:t>
            </w:r>
          </w:p>
        </w:tc>
        <w:tc>
          <w:tcPr>
            <w:tcW w:w="1771" w:type="dxa"/>
            <w:gridSpan w:val="2"/>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开工建设时间</w:t>
            </w:r>
          </w:p>
        </w:tc>
        <w:tc>
          <w:tcPr>
            <w:tcW w:w="2581" w:type="dxa"/>
            <w:gridSpan w:val="3"/>
            <w:vAlign w:val="center"/>
          </w:tcPr>
          <w:p>
            <w:pPr>
              <w:jc w:val="center"/>
              <w:rPr>
                <w:rFonts w:ascii="Times New Roman" w:hAnsi="Times New Roman" w:eastAsia="宋体" w:cs="Times New Roman"/>
                <w:color w:val="000000" w:themeColor="text1"/>
                <w:sz w:val="24"/>
                <w:highlight w:val="cyan"/>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2021年11月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exact"/>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调试时间</w:t>
            </w:r>
          </w:p>
        </w:tc>
        <w:tc>
          <w:tcPr>
            <w:tcW w:w="2966" w:type="dxa"/>
            <w:gridSpan w:val="2"/>
            <w:vAlign w:val="center"/>
          </w:tcPr>
          <w:p>
            <w:pPr>
              <w:adjustRightInd w:val="0"/>
              <w:snapToGrid w:val="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2022年6月</w:t>
            </w:r>
          </w:p>
        </w:tc>
        <w:tc>
          <w:tcPr>
            <w:tcW w:w="1771" w:type="dxa"/>
            <w:gridSpan w:val="2"/>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验收现场监测时间</w:t>
            </w:r>
          </w:p>
        </w:tc>
        <w:tc>
          <w:tcPr>
            <w:tcW w:w="2581" w:type="dxa"/>
            <w:gridSpan w:val="3"/>
            <w:vAlign w:val="center"/>
          </w:tcPr>
          <w:p>
            <w:pPr>
              <w:adjustRightInd w:val="0"/>
              <w:snapToGrid w:val="0"/>
              <w:jc w:val="center"/>
              <w:rPr>
                <w:rFonts w:ascii="Times New Roman" w:hAnsi="Times New Roman" w:eastAsia="宋体" w:cs="Times New Roman"/>
                <w:color w:val="000000" w:themeColor="text1"/>
                <w:spacing w:val="-8"/>
                <w:sz w:val="24"/>
                <w:highlight w:val="cyan"/>
                <w14:textFill>
                  <w14:solidFill>
                    <w14:schemeClr w14:val="tx1"/>
                  </w14:solidFill>
                </w14:textFill>
              </w:rPr>
            </w:pPr>
            <w:r>
              <w:rPr>
                <w:rFonts w:hint="eastAsia" w:ascii="Times New Roman" w:hAnsi="Times New Roman" w:eastAsia="宋体" w:cs="Times New Roman"/>
                <w:color w:val="000000" w:themeColor="text1"/>
                <w:spacing w:val="-8"/>
                <w:sz w:val="24"/>
                <w14:textFill>
                  <w14:solidFill>
                    <w14:schemeClr w14:val="tx1"/>
                  </w14:solidFill>
                </w14:textFill>
              </w:rPr>
              <w:t>2</w:t>
            </w:r>
            <w:r>
              <w:rPr>
                <w:rFonts w:ascii="Times New Roman" w:hAnsi="Times New Roman" w:eastAsia="宋体" w:cs="Times New Roman"/>
                <w:color w:val="000000" w:themeColor="text1"/>
                <w:spacing w:val="-8"/>
                <w:sz w:val="24"/>
                <w14:textFill>
                  <w14:solidFill>
                    <w14:schemeClr w14:val="tx1"/>
                  </w14:solidFill>
                </w14:textFill>
              </w:rPr>
              <w:t>022</w:t>
            </w:r>
            <w:r>
              <w:rPr>
                <w:rFonts w:hint="eastAsia" w:ascii="Times New Roman" w:hAnsi="Times New Roman" w:eastAsia="宋体" w:cs="Times New Roman"/>
                <w:color w:val="000000" w:themeColor="text1"/>
                <w:spacing w:val="-8"/>
                <w:sz w:val="24"/>
                <w14:textFill>
                  <w14:solidFill>
                    <w14:schemeClr w14:val="tx1"/>
                  </w14:solidFill>
                </w14:textFill>
              </w:rPr>
              <w:t>年</w:t>
            </w:r>
            <w:r>
              <w:rPr>
                <w:rFonts w:ascii="Times New Roman" w:hAnsi="Times New Roman" w:eastAsia="宋体" w:cs="Times New Roman"/>
                <w:color w:val="000000" w:themeColor="text1"/>
                <w:spacing w:val="-8"/>
                <w:sz w:val="24"/>
                <w14:textFill>
                  <w14:solidFill>
                    <w14:schemeClr w14:val="tx1"/>
                  </w14:solidFill>
                </w14:textFill>
              </w:rPr>
              <w:t>8</w:t>
            </w:r>
            <w:r>
              <w:rPr>
                <w:rFonts w:hint="eastAsia" w:ascii="Times New Roman" w:hAnsi="Times New Roman" w:eastAsia="宋体" w:cs="Times New Roman"/>
                <w:color w:val="000000" w:themeColor="text1"/>
                <w:spacing w:val="-8"/>
                <w:sz w:val="24"/>
                <w14:textFill>
                  <w14:solidFill>
                    <w14:schemeClr w14:val="tx1"/>
                  </w14:solidFill>
                </w14:textFill>
              </w:rPr>
              <w:t>月</w:t>
            </w:r>
            <w:r>
              <w:rPr>
                <w:rFonts w:ascii="Times New Roman" w:hAnsi="Times New Roman" w:eastAsia="宋体" w:cs="Times New Roman"/>
                <w:color w:val="000000" w:themeColor="text1"/>
                <w:spacing w:val="-8"/>
                <w:sz w:val="24"/>
                <w14:textFill>
                  <w14:solidFill>
                    <w14:schemeClr w14:val="tx1"/>
                  </w14:solidFill>
                </w14:textFill>
              </w:rPr>
              <w:t>31</w:t>
            </w:r>
            <w:r>
              <w:rPr>
                <w:rFonts w:hint="eastAsia" w:ascii="Times New Roman" w:hAnsi="Times New Roman" w:eastAsia="宋体" w:cs="Times New Roman"/>
                <w:color w:val="000000" w:themeColor="text1"/>
                <w:spacing w:val="-8"/>
                <w:sz w:val="24"/>
                <w14:textFill>
                  <w14:solidFill>
                    <w14:schemeClr w14:val="tx1"/>
                  </w14:solidFill>
                </w14:textFill>
              </w:rPr>
              <w:t>日-</w:t>
            </w:r>
            <w:r>
              <w:rPr>
                <w:rFonts w:ascii="Times New Roman" w:hAnsi="Times New Roman" w:eastAsia="宋体" w:cs="Times New Roman"/>
                <w:color w:val="000000" w:themeColor="text1"/>
                <w:spacing w:val="-8"/>
                <w:sz w:val="24"/>
                <w14:textFill>
                  <w14:solidFill>
                    <w14:schemeClr w14:val="tx1"/>
                  </w14:solidFill>
                </w14:textFill>
              </w:rPr>
              <w:t>2022</w:t>
            </w:r>
            <w:r>
              <w:rPr>
                <w:rFonts w:hint="eastAsia" w:ascii="Times New Roman" w:hAnsi="Times New Roman" w:eastAsia="宋体" w:cs="Times New Roman"/>
                <w:color w:val="000000" w:themeColor="text1"/>
                <w:spacing w:val="-8"/>
                <w:sz w:val="24"/>
                <w14:textFill>
                  <w14:solidFill>
                    <w14:schemeClr w14:val="tx1"/>
                  </w14:solidFill>
                </w14:textFill>
              </w:rPr>
              <w:t>年</w:t>
            </w:r>
            <w:r>
              <w:rPr>
                <w:rFonts w:ascii="Times New Roman" w:hAnsi="Times New Roman" w:eastAsia="宋体" w:cs="Times New Roman"/>
                <w:color w:val="000000" w:themeColor="text1"/>
                <w:spacing w:val="-8"/>
                <w:sz w:val="24"/>
                <w14:textFill>
                  <w14:solidFill>
                    <w14:schemeClr w14:val="tx1"/>
                  </w14:solidFill>
                </w14:textFill>
              </w:rPr>
              <w:t>9</w:t>
            </w:r>
            <w:r>
              <w:rPr>
                <w:rFonts w:hint="eastAsia" w:ascii="Times New Roman" w:hAnsi="Times New Roman" w:eastAsia="宋体" w:cs="Times New Roman"/>
                <w:color w:val="000000" w:themeColor="text1"/>
                <w:spacing w:val="-8"/>
                <w:sz w:val="24"/>
                <w14:textFill>
                  <w14:solidFill>
                    <w14:schemeClr w14:val="tx1"/>
                  </w14:solidFill>
                </w14:textFill>
              </w:rPr>
              <w:t>月</w:t>
            </w:r>
            <w:r>
              <w:rPr>
                <w:rFonts w:ascii="Times New Roman" w:hAnsi="Times New Roman" w:eastAsia="宋体" w:cs="Times New Roman"/>
                <w:color w:val="000000" w:themeColor="text1"/>
                <w:spacing w:val="-8"/>
                <w:sz w:val="24"/>
                <w14:textFill>
                  <w14:solidFill>
                    <w14:schemeClr w14:val="tx1"/>
                  </w14:solidFill>
                </w14:textFill>
              </w:rPr>
              <w:t>1</w:t>
            </w:r>
            <w:r>
              <w:rPr>
                <w:rFonts w:hint="eastAsia" w:ascii="Times New Roman" w:hAnsi="Times New Roman" w:eastAsia="宋体" w:cs="Times New Roman"/>
                <w:color w:val="000000" w:themeColor="text1"/>
                <w:spacing w:val="-8"/>
                <w:sz w:val="24"/>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环评报告表审批部门</w:t>
            </w:r>
          </w:p>
        </w:tc>
        <w:tc>
          <w:tcPr>
            <w:tcW w:w="2966" w:type="dxa"/>
            <w:gridSpan w:val="2"/>
            <w:vAlign w:val="center"/>
          </w:tcPr>
          <w:p>
            <w:pPr>
              <w:adjustRightInd w:val="0"/>
              <w:snapToGrid w:val="0"/>
              <w:jc w:val="center"/>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盐城市大丰生态环境局</w:t>
            </w:r>
          </w:p>
          <w:p>
            <w:pPr>
              <w:pStyle w:val="23"/>
              <w:jc w:val="center"/>
              <w:rPr>
                <w:rFonts w:ascii="Times New Roman" w:hAnsi="Times New Roman" w:cs="Times New Roman"/>
              </w:rPr>
            </w:pPr>
            <w:r>
              <w:rPr>
                <w:rFonts w:hint="eastAsia" w:ascii="Times New Roman" w:hAnsi="Times New Roman" w:cs="Times New Roman"/>
              </w:rPr>
              <w:t>盐环表复</w:t>
            </w:r>
            <w:r>
              <w:rPr>
                <w:rFonts w:ascii="Times New Roman" w:hAnsi="Times New Roman" w:cs="Times New Roman"/>
              </w:rPr>
              <w:t>[2021]82131号</w:t>
            </w:r>
          </w:p>
        </w:tc>
        <w:tc>
          <w:tcPr>
            <w:tcW w:w="1771" w:type="dxa"/>
            <w:gridSpan w:val="2"/>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环评报告表编制单位</w:t>
            </w:r>
          </w:p>
        </w:tc>
        <w:tc>
          <w:tcPr>
            <w:tcW w:w="2581" w:type="dxa"/>
            <w:gridSpan w:val="3"/>
            <w:vAlign w:val="center"/>
          </w:tcPr>
          <w:p>
            <w:pPr>
              <w:adjustRightInd w:val="0"/>
              <w:snapToGrid w:val="0"/>
              <w:jc w:val="center"/>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江苏南大环保科技有限公司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exact"/>
          <w:jc w:val="center"/>
        </w:trPr>
        <w:tc>
          <w:tcPr>
            <w:tcW w:w="1696" w:type="dxa"/>
            <w:vAlign w:val="center"/>
          </w:tcPr>
          <w:p>
            <w:pPr>
              <w:adjustRightInd w:val="0"/>
              <w:snapToGrid w:val="0"/>
              <w:jc w:val="center"/>
              <w:rPr>
                <w:rFonts w:ascii="Times New Roman" w:hAnsi="Times New Roman" w:eastAsia="宋体" w:cs="Times New Roman"/>
                <w:b/>
                <w:bCs/>
                <w:color w:val="000000" w:themeColor="text1"/>
                <w:spacing w:val="-12"/>
                <w:sz w:val="24"/>
                <w14:textFill>
                  <w14:solidFill>
                    <w14:schemeClr w14:val="tx1"/>
                  </w14:solidFill>
                </w14:textFill>
              </w:rPr>
            </w:pPr>
            <w:r>
              <w:rPr>
                <w:rFonts w:ascii="Times New Roman" w:hAnsi="Times New Roman" w:eastAsia="宋体" w:cs="Times New Roman"/>
                <w:b/>
                <w:bCs/>
                <w:color w:val="000000" w:themeColor="text1"/>
                <w:spacing w:val="-12"/>
                <w:sz w:val="24"/>
                <w14:textFill>
                  <w14:solidFill>
                    <w14:schemeClr w14:val="tx1"/>
                  </w14:solidFill>
                </w14:textFill>
              </w:rPr>
              <w:t>环保设施设计单位</w:t>
            </w:r>
          </w:p>
        </w:tc>
        <w:tc>
          <w:tcPr>
            <w:tcW w:w="2966" w:type="dxa"/>
            <w:gridSpan w:val="2"/>
            <w:vAlign w:val="center"/>
          </w:tcPr>
          <w:p>
            <w:pPr>
              <w:adjustRightInd w:val="0"/>
              <w:snapToGrid w:val="0"/>
              <w:jc w:val="center"/>
              <w:rPr>
                <w:rFonts w:ascii="Times New Roman" w:hAnsi="Times New Roman" w:eastAsia="宋体" w:cs="Times New Roman"/>
                <w:color w:val="00B0F0"/>
                <w:spacing w:val="-8"/>
                <w:sz w:val="24"/>
              </w:rPr>
            </w:pPr>
            <w:r>
              <w:rPr>
                <w:rFonts w:hint="eastAsia" w:ascii="Times New Roman" w:hAnsi="Times New Roman" w:eastAsia="宋体" w:cs="Times New Roman"/>
                <w:color w:val="000000" w:themeColor="text1"/>
                <w:spacing w:val="-8"/>
                <w:sz w:val="24"/>
                <w14:textFill>
                  <w14:solidFill>
                    <w14:schemeClr w14:val="tx1"/>
                  </w14:solidFill>
                </w14:textFill>
              </w:rPr>
              <w:t>/</w:t>
            </w:r>
          </w:p>
        </w:tc>
        <w:tc>
          <w:tcPr>
            <w:tcW w:w="1771" w:type="dxa"/>
            <w:gridSpan w:val="2"/>
            <w:vAlign w:val="center"/>
          </w:tcPr>
          <w:p>
            <w:pPr>
              <w:adjustRightInd w:val="0"/>
              <w:snapToGrid w:val="0"/>
              <w:jc w:val="center"/>
              <w:rPr>
                <w:rFonts w:ascii="Times New Roman" w:hAnsi="Times New Roman" w:eastAsia="宋体" w:cs="Times New Roman"/>
                <w:b/>
                <w:bCs/>
                <w:color w:val="00B0F0"/>
                <w:sz w:val="24"/>
              </w:rPr>
            </w:pPr>
            <w:r>
              <w:rPr>
                <w:rFonts w:ascii="Times New Roman" w:hAnsi="Times New Roman" w:eastAsia="宋体" w:cs="Times New Roman"/>
                <w:b/>
                <w:bCs/>
                <w:color w:val="000000" w:themeColor="text1"/>
                <w:sz w:val="24"/>
                <w14:textFill>
                  <w14:solidFill>
                    <w14:schemeClr w14:val="tx1"/>
                  </w14:solidFill>
                </w14:textFill>
              </w:rPr>
              <w:t>环保设施施工单位</w:t>
            </w:r>
          </w:p>
        </w:tc>
        <w:tc>
          <w:tcPr>
            <w:tcW w:w="2581" w:type="dxa"/>
            <w:gridSpan w:val="3"/>
            <w:vAlign w:val="center"/>
          </w:tcPr>
          <w:p>
            <w:pPr>
              <w:adjustRightInd w:val="0"/>
              <w:snapToGrid w:val="0"/>
              <w:jc w:val="center"/>
              <w:rPr>
                <w:rFonts w:ascii="Times New Roman" w:hAnsi="Times New Roman" w:eastAsia="宋体" w:cs="Times New Roman"/>
                <w:color w:val="000000" w:themeColor="text1"/>
                <w:spacing w:val="-8"/>
                <w:sz w:val="24"/>
                <w:highlight w:val="yellow"/>
                <w14:textFill>
                  <w14:solidFill>
                    <w14:schemeClr w14:val="tx1"/>
                  </w14:solidFill>
                </w14:textFill>
              </w:rPr>
            </w:pPr>
            <w:r>
              <w:rPr>
                <w:rFonts w:hint="eastAsia" w:ascii="Times New Roman" w:hAnsi="Times New Roman" w:eastAsia="宋体" w:cs="Times New Roman"/>
                <w:color w:val="000000" w:themeColor="text1"/>
                <w:spacing w:val="-8"/>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投资总概算</w:t>
            </w:r>
          </w:p>
        </w:tc>
        <w:tc>
          <w:tcPr>
            <w:tcW w:w="1995" w:type="dxa"/>
            <w:vAlign w:val="center"/>
          </w:tcPr>
          <w:p>
            <w:pPr>
              <w:adjustRightInd w:val="0"/>
              <w:snapToGrid w:val="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3000万元</w:t>
            </w:r>
          </w:p>
        </w:tc>
        <w:tc>
          <w:tcPr>
            <w:tcW w:w="2072" w:type="dxa"/>
            <w:gridSpan w:val="2"/>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环保投资总概算</w:t>
            </w:r>
          </w:p>
        </w:tc>
        <w:tc>
          <w:tcPr>
            <w:tcW w:w="1178" w:type="dxa"/>
            <w:gridSpan w:val="2"/>
            <w:vAlign w:val="center"/>
          </w:tcPr>
          <w:p>
            <w:pPr>
              <w:adjustRightInd w:val="0"/>
              <w:snapToGrid w:val="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120万元</w:t>
            </w:r>
          </w:p>
        </w:tc>
        <w:tc>
          <w:tcPr>
            <w:tcW w:w="709"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比例</w:t>
            </w:r>
          </w:p>
        </w:tc>
        <w:tc>
          <w:tcPr>
            <w:tcW w:w="1364" w:type="dxa"/>
            <w:vAlign w:val="center"/>
          </w:tcPr>
          <w:p>
            <w:pPr>
              <w:adjustRightInd w:val="0"/>
              <w:snapToGrid w:val="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实际总</w:t>
            </w:r>
            <w:r>
              <w:rPr>
                <w:rFonts w:hint="eastAsia" w:ascii="Times New Roman" w:hAnsi="Times New Roman" w:eastAsia="宋体" w:cs="Times New Roman"/>
                <w:b/>
                <w:bCs/>
                <w:color w:val="000000" w:themeColor="text1"/>
                <w:sz w:val="24"/>
                <w14:textFill>
                  <w14:solidFill>
                    <w14:schemeClr w14:val="tx1"/>
                  </w14:solidFill>
                </w14:textFill>
              </w:rPr>
              <w:t>概算</w:t>
            </w:r>
          </w:p>
        </w:tc>
        <w:tc>
          <w:tcPr>
            <w:tcW w:w="1995" w:type="dxa"/>
            <w:vAlign w:val="center"/>
          </w:tcPr>
          <w:p>
            <w:pPr>
              <w:adjustRightInd w:val="0"/>
              <w:snapToGrid w:val="0"/>
              <w:jc w:val="center"/>
              <w:rPr>
                <w:rFonts w:ascii="Times New Roman" w:hAnsi="Times New Roman" w:eastAsia="宋体" w:cs="Times New Roman"/>
                <w:color w:val="000000" w:themeColor="text1"/>
                <w:sz w:val="24"/>
                <w:highlight w:val="yellow"/>
                <w14:textFill>
                  <w14:solidFill>
                    <w14:schemeClr w14:val="tx1"/>
                  </w14:solidFill>
                </w14:textFill>
              </w:rPr>
            </w:pPr>
            <w:r>
              <w:rPr>
                <w:rFonts w:ascii="Times New Roman" w:hAnsi="Times New Roman" w:eastAsia="宋体" w:cs="Times New Roman"/>
                <w:color w:val="000000" w:themeColor="text1"/>
                <w:sz w:val="24"/>
                <w:highlight w:val="yellow"/>
                <w14:textFill>
                  <w14:solidFill>
                    <w14:schemeClr w14:val="tx1"/>
                  </w14:solidFill>
                </w14:textFill>
              </w:rPr>
              <w:t>3000万元</w:t>
            </w:r>
          </w:p>
        </w:tc>
        <w:tc>
          <w:tcPr>
            <w:tcW w:w="2072" w:type="dxa"/>
            <w:gridSpan w:val="2"/>
            <w:vAlign w:val="center"/>
          </w:tcPr>
          <w:p>
            <w:pPr>
              <w:adjustRightInd w:val="0"/>
              <w:snapToGrid w:val="0"/>
              <w:jc w:val="center"/>
              <w:rPr>
                <w:rFonts w:ascii="Times New Roman" w:hAnsi="Times New Roman" w:eastAsia="宋体" w:cs="Times New Roman"/>
                <w:b/>
                <w:bCs/>
                <w:color w:val="000000" w:themeColor="text1"/>
                <w:sz w:val="24"/>
                <w:highlight w:val="yellow"/>
                <w14:textFill>
                  <w14:solidFill>
                    <w14:schemeClr w14:val="tx1"/>
                  </w14:solidFill>
                </w14:textFill>
              </w:rPr>
            </w:pPr>
            <w:r>
              <w:rPr>
                <w:rFonts w:ascii="Times New Roman" w:hAnsi="Times New Roman" w:eastAsia="宋体" w:cs="Times New Roman"/>
                <w:b/>
                <w:bCs/>
                <w:color w:val="000000" w:themeColor="text1"/>
                <w:sz w:val="24"/>
                <w:highlight w:val="yellow"/>
                <w14:textFill>
                  <w14:solidFill>
                    <w14:schemeClr w14:val="tx1"/>
                  </w14:solidFill>
                </w14:textFill>
              </w:rPr>
              <w:t>环保投资总概算</w:t>
            </w:r>
          </w:p>
        </w:tc>
        <w:tc>
          <w:tcPr>
            <w:tcW w:w="1178" w:type="dxa"/>
            <w:gridSpan w:val="2"/>
            <w:vAlign w:val="center"/>
          </w:tcPr>
          <w:p>
            <w:pPr>
              <w:adjustRightInd w:val="0"/>
              <w:snapToGrid w:val="0"/>
              <w:jc w:val="center"/>
              <w:rPr>
                <w:rFonts w:ascii="Times New Roman" w:hAnsi="Times New Roman" w:eastAsia="宋体" w:cs="Times New Roman"/>
                <w:color w:val="000000" w:themeColor="text1"/>
                <w:sz w:val="24"/>
                <w:highlight w:val="yellow"/>
                <w14:textFill>
                  <w14:solidFill>
                    <w14:schemeClr w14:val="tx1"/>
                  </w14:solidFill>
                </w14:textFill>
              </w:rPr>
            </w:pPr>
            <w:r>
              <w:rPr>
                <w:rFonts w:ascii="Times New Roman" w:hAnsi="Times New Roman" w:eastAsia="宋体" w:cs="Times New Roman"/>
                <w:color w:val="000000" w:themeColor="text1"/>
                <w:sz w:val="24"/>
                <w:highlight w:val="yellow"/>
                <w14:textFill>
                  <w14:solidFill>
                    <w14:schemeClr w14:val="tx1"/>
                  </w14:solidFill>
                </w14:textFill>
              </w:rPr>
              <w:t>140万元</w:t>
            </w:r>
          </w:p>
        </w:tc>
        <w:tc>
          <w:tcPr>
            <w:tcW w:w="709" w:type="dxa"/>
            <w:vAlign w:val="center"/>
          </w:tcPr>
          <w:p>
            <w:pPr>
              <w:adjustRightInd w:val="0"/>
              <w:snapToGrid w:val="0"/>
              <w:jc w:val="center"/>
              <w:rPr>
                <w:rFonts w:ascii="Times New Roman" w:hAnsi="Times New Roman" w:eastAsia="宋体" w:cs="Times New Roman"/>
                <w:b/>
                <w:bCs/>
                <w:color w:val="000000" w:themeColor="text1"/>
                <w:sz w:val="24"/>
                <w:highlight w:val="yellow"/>
                <w14:textFill>
                  <w14:solidFill>
                    <w14:schemeClr w14:val="tx1"/>
                  </w14:solidFill>
                </w14:textFill>
              </w:rPr>
            </w:pPr>
            <w:r>
              <w:rPr>
                <w:rFonts w:ascii="Times New Roman" w:hAnsi="Times New Roman" w:eastAsia="宋体" w:cs="Times New Roman"/>
                <w:b/>
                <w:bCs/>
                <w:color w:val="000000" w:themeColor="text1"/>
                <w:sz w:val="24"/>
                <w:highlight w:val="yellow"/>
                <w14:textFill>
                  <w14:solidFill>
                    <w14:schemeClr w14:val="tx1"/>
                  </w14:solidFill>
                </w14:textFill>
              </w:rPr>
              <w:t>比例</w:t>
            </w:r>
          </w:p>
        </w:tc>
        <w:tc>
          <w:tcPr>
            <w:tcW w:w="1364" w:type="dxa"/>
            <w:vAlign w:val="center"/>
          </w:tcPr>
          <w:p>
            <w:pPr>
              <w:adjustRightInd w:val="0"/>
              <w:snapToGrid w:val="0"/>
              <w:jc w:val="center"/>
              <w:rPr>
                <w:rFonts w:ascii="Times New Roman" w:hAnsi="Times New Roman" w:eastAsia="宋体" w:cs="Times New Roman"/>
                <w:color w:val="000000" w:themeColor="text1"/>
                <w:sz w:val="24"/>
                <w:highlight w:val="yellow"/>
                <w14:textFill>
                  <w14:solidFill>
                    <w14:schemeClr w14:val="tx1"/>
                  </w14:solidFill>
                </w14:textFill>
              </w:rPr>
            </w:pPr>
            <w:r>
              <w:rPr>
                <w:rFonts w:ascii="Times New Roman" w:hAnsi="Times New Roman" w:eastAsia="宋体" w:cs="Times New Roman"/>
                <w:color w:val="000000" w:themeColor="text1"/>
                <w:sz w:val="24"/>
                <w:highlight w:val="yellow"/>
                <w14:textFill>
                  <w14:solidFill>
                    <w14:schemeClr w14:val="tx1"/>
                  </w14:solidFill>
                </w14:textFill>
              </w:rPr>
              <w:t>4</w:t>
            </w:r>
            <w:r>
              <w:rPr>
                <w:rFonts w:hint="eastAsia" w:ascii="Times New Roman" w:hAnsi="Times New Roman" w:eastAsia="宋体" w:cs="Times New Roman"/>
                <w:color w:val="000000" w:themeColor="text1"/>
                <w:sz w:val="24"/>
                <w:highlight w:val="yellow"/>
                <w14:textFill>
                  <w14:solidFill>
                    <w14:schemeClr w14:val="tx1"/>
                  </w14:solidFill>
                </w14:textFill>
              </w:rPr>
              <w:t>.</w:t>
            </w:r>
            <w:r>
              <w:rPr>
                <w:rFonts w:ascii="Times New Roman" w:hAnsi="Times New Roman" w:eastAsia="宋体" w:cs="Times New Roman"/>
                <w:color w:val="000000" w:themeColor="text1"/>
                <w:sz w:val="24"/>
                <w:highlight w:val="yellow"/>
                <w14:textFill>
                  <w14:solidFill>
                    <w14:schemeClr w14:val="tx1"/>
                  </w14:solidFill>
                </w14:textFill>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highlight w:val="cyan"/>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验收监测依据</w:t>
            </w:r>
          </w:p>
        </w:tc>
        <w:tc>
          <w:tcPr>
            <w:tcW w:w="7318" w:type="dxa"/>
            <w:gridSpan w:val="7"/>
            <w:vAlign w:val="center"/>
          </w:tcPr>
          <w:p>
            <w:pPr>
              <w:adjustRightInd w:val="0"/>
              <w:snapToGrid w:val="0"/>
              <w:spacing w:line="360" w:lineRule="auto"/>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建设项目环境保护相关法律、法规、规章和规范：</w:t>
            </w:r>
          </w:p>
          <w:p>
            <w:pPr>
              <w:adjustRightInd w:val="0"/>
              <w:snapToGrid w:val="0"/>
              <w:spacing w:line="360" w:lineRule="auto"/>
              <w:rPr>
                <w:rFonts w:ascii="Times New Roman" w:hAnsi="Times New Roman" w:eastAsia="宋体" w:cs="Times New Roman"/>
                <w:color w:val="000000" w:themeColor="text1"/>
                <w:sz w:val="24"/>
                <w:highlight w:val="yellow"/>
                <w14:textFill>
                  <w14:solidFill>
                    <w14:schemeClr w14:val="tx1"/>
                  </w14:solidFill>
                </w14:textFill>
              </w:rPr>
            </w:pPr>
            <w:r>
              <w:rPr>
                <w:rFonts w:ascii="Times New Roman" w:hAnsi="Times New Roman" w:eastAsia="宋体" w:cs="Times New Roman"/>
                <w:color w:val="000000" w:themeColor="text1"/>
                <w:sz w:val="24"/>
                <w:highlight w:val="yellow"/>
                <w14:textFill>
                  <w14:solidFill>
                    <w14:schemeClr w14:val="tx1"/>
                  </w14:solidFill>
                </w14:textFill>
              </w:rPr>
              <w:t>（1）《中华人民共和国环境保护法》，</w:t>
            </w:r>
            <w:r>
              <w:rPr>
                <w:rFonts w:hint="eastAsia" w:ascii="Times New Roman" w:hAnsi="Times New Roman" w:eastAsia="宋体" w:cs="Times New Roman"/>
                <w:color w:val="000000" w:themeColor="text1"/>
                <w:sz w:val="24"/>
                <w:highlight w:val="yellow"/>
                <w14:textFill>
                  <w14:solidFill>
                    <w14:schemeClr w14:val="tx1"/>
                  </w14:solidFill>
                </w14:textFill>
              </w:rPr>
              <w:t>（2</w:t>
            </w:r>
            <w:r>
              <w:rPr>
                <w:rFonts w:ascii="Times New Roman" w:hAnsi="Times New Roman" w:eastAsia="宋体" w:cs="Times New Roman"/>
                <w:color w:val="000000" w:themeColor="text1"/>
                <w:sz w:val="24"/>
                <w:highlight w:val="yellow"/>
                <w14:textFill>
                  <w14:solidFill>
                    <w14:schemeClr w14:val="tx1"/>
                  </w14:solidFill>
                </w14:textFill>
              </w:rPr>
              <w:t>014</w:t>
            </w:r>
            <w:r>
              <w:rPr>
                <w:rFonts w:hint="eastAsia" w:ascii="Times New Roman" w:hAnsi="Times New Roman" w:eastAsia="宋体" w:cs="Times New Roman"/>
                <w:color w:val="000000" w:themeColor="text1"/>
                <w:sz w:val="24"/>
                <w:highlight w:val="yellow"/>
                <w14:textFill>
                  <w14:solidFill>
                    <w14:schemeClr w14:val="tx1"/>
                  </w14:solidFill>
                </w14:textFill>
              </w:rPr>
              <w:t>年4月2</w:t>
            </w:r>
            <w:r>
              <w:rPr>
                <w:rFonts w:ascii="Times New Roman" w:hAnsi="Times New Roman" w:eastAsia="宋体" w:cs="Times New Roman"/>
                <w:color w:val="000000" w:themeColor="text1"/>
                <w:sz w:val="24"/>
                <w:highlight w:val="yellow"/>
                <w14:textFill>
                  <w14:solidFill>
                    <w14:schemeClr w14:val="tx1"/>
                  </w14:solidFill>
                </w14:textFill>
              </w:rPr>
              <w:t>4</w:t>
            </w:r>
            <w:r>
              <w:rPr>
                <w:rFonts w:hint="eastAsia" w:ascii="Times New Roman" w:hAnsi="Times New Roman" w:eastAsia="宋体" w:cs="Times New Roman"/>
                <w:color w:val="000000" w:themeColor="text1"/>
                <w:sz w:val="24"/>
                <w:highlight w:val="yellow"/>
                <w14:textFill>
                  <w14:solidFill>
                    <w14:schemeClr w14:val="tx1"/>
                  </w14:solidFill>
                </w14:textFill>
              </w:rPr>
              <w:t>日修订）</w:t>
            </w:r>
            <w:r>
              <w:rPr>
                <w:rFonts w:ascii="Times New Roman" w:hAnsi="Times New Roman" w:eastAsia="宋体" w:cs="Times New Roman"/>
                <w:color w:val="000000" w:themeColor="text1"/>
                <w:sz w:val="24"/>
                <w:highlight w:val="yellow"/>
                <w14:textFill>
                  <w14:solidFill>
                    <w14:schemeClr w14:val="tx1"/>
                  </w14:solidFill>
                </w14:textFill>
              </w:rPr>
              <w:t>；</w:t>
            </w:r>
          </w:p>
          <w:p>
            <w:pPr>
              <w:adjustRightInd w:val="0"/>
              <w:snapToGrid w:val="0"/>
              <w:spacing w:line="360" w:lineRule="auto"/>
              <w:rPr>
                <w:rFonts w:ascii="Times New Roman" w:hAnsi="Times New Roman" w:eastAsia="宋体" w:cs="Times New Roman"/>
                <w:color w:val="000000" w:themeColor="text1"/>
                <w:sz w:val="24"/>
                <w:highlight w:val="yellow"/>
                <w14:textFill>
                  <w14:solidFill>
                    <w14:schemeClr w14:val="tx1"/>
                  </w14:solidFill>
                </w14:textFill>
              </w:rPr>
            </w:pPr>
            <w:r>
              <w:rPr>
                <w:rFonts w:ascii="Times New Roman" w:hAnsi="Times New Roman" w:eastAsia="宋体" w:cs="Times New Roman"/>
                <w:color w:val="000000" w:themeColor="text1"/>
                <w:sz w:val="24"/>
                <w:highlight w:val="yellow"/>
                <w14:textFill>
                  <w14:solidFill>
                    <w14:schemeClr w14:val="tx1"/>
                  </w14:solidFill>
                </w14:textFill>
              </w:rPr>
              <w:t>（2）《中华人民共和国水污染防治法》，</w:t>
            </w:r>
            <w:r>
              <w:rPr>
                <w:rFonts w:hint="eastAsia" w:ascii="Times New Roman" w:hAnsi="Times New Roman" w:eastAsia="宋体" w:cs="Times New Roman"/>
                <w:color w:val="000000" w:themeColor="text1"/>
                <w:sz w:val="24"/>
                <w:highlight w:val="yellow"/>
                <w14:textFill>
                  <w14:solidFill>
                    <w14:schemeClr w14:val="tx1"/>
                  </w14:solidFill>
                </w14:textFill>
              </w:rPr>
              <w:t>（</w:t>
            </w:r>
            <w:r>
              <w:rPr>
                <w:rFonts w:ascii="Times New Roman" w:hAnsi="Times New Roman" w:eastAsia="宋体" w:cs="Times New Roman"/>
                <w:color w:val="000000" w:themeColor="text1"/>
                <w:sz w:val="24"/>
                <w:highlight w:val="yellow"/>
                <w14:textFill>
                  <w14:solidFill>
                    <w14:schemeClr w14:val="tx1"/>
                  </w14:solidFill>
                </w14:textFill>
              </w:rPr>
              <w:t>2017年6月27日</w:t>
            </w:r>
            <w:r>
              <w:rPr>
                <w:rFonts w:hint="eastAsia" w:ascii="Times New Roman" w:hAnsi="Times New Roman" w:eastAsia="宋体" w:cs="Times New Roman"/>
                <w:color w:val="000000" w:themeColor="text1"/>
                <w:sz w:val="24"/>
                <w:highlight w:val="yellow"/>
                <w14:textFill>
                  <w14:solidFill>
                    <w14:schemeClr w14:val="tx1"/>
                  </w14:solidFill>
                </w14:textFill>
              </w:rPr>
              <w:t>修订）</w:t>
            </w:r>
            <w:r>
              <w:rPr>
                <w:rFonts w:ascii="Times New Roman" w:hAnsi="Times New Roman" w:eastAsia="宋体" w:cs="Times New Roman"/>
                <w:color w:val="000000" w:themeColor="text1"/>
                <w:sz w:val="24"/>
                <w:highlight w:val="yellow"/>
                <w14:textFill>
                  <w14:solidFill>
                    <w14:schemeClr w14:val="tx1"/>
                  </w14:solidFill>
                </w14:textFill>
              </w:rPr>
              <w:t>；</w:t>
            </w:r>
          </w:p>
          <w:p>
            <w:pPr>
              <w:adjustRightInd w:val="0"/>
              <w:snapToGrid w:val="0"/>
              <w:spacing w:line="360" w:lineRule="auto"/>
              <w:rPr>
                <w:rFonts w:ascii="Times New Roman" w:hAnsi="Times New Roman" w:eastAsia="宋体" w:cs="Times New Roman"/>
                <w:color w:val="000000" w:themeColor="text1"/>
                <w:sz w:val="24"/>
                <w:highlight w:val="yellow"/>
                <w14:textFill>
                  <w14:solidFill>
                    <w14:schemeClr w14:val="tx1"/>
                  </w14:solidFill>
                </w14:textFill>
              </w:rPr>
            </w:pPr>
            <w:r>
              <w:rPr>
                <w:rFonts w:ascii="Times New Roman" w:hAnsi="Times New Roman" w:eastAsia="宋体" w:cs="Times New Roman"/>
                <w:color w:val="000000" w:themeColor="text1"/>
                <w:sz w:val="24"/>
                <w:highlight w:val="yellow"/>
                <w14:textFill>
                  <w14:solidFill>
                    <w14:schemeClr w14:val="tx1"/>
                  </w14:solidFill>
                </w14:textFill>
              </w:rPr>
              <w:t>（3）《中华人民共和国大气污染防治法》，(2018年10月26日</w:t>
            </w:r>
            <w:r>
              <w:rPr>
                <w:rFonts w:hint="eastAsia" w:ascii="Times New Roman" w:hAnsi="Times New Roman" w:eastAsia="宋体" w:cs="Times New Roman"/>
                <w:color w:val="000000" w:themeColor="text1"/>
                <w:sz w:val="24"/>
                <w:highlight w:val="yellow"/>
                <w14:textFill>
                  <w14:solidFill>
                    <w14:schemeClr w14:val="tx1"/>
                  </w14:solidFill>
                </w14:textFill>
              </w:rPr>
              <w:t>修订</w:t>
            </w:r>
            <w:r>
              <w:rPr>
                <w:rFonts w:ascii="Times New Roman" w:hAnsi="Times New Roman" w:eastAsia="宋体" w:cs="Times New Roman"/>
                <w:color w:val="000000" w:themeColor="text1"/>
                <w:sz w:val="24"/>
                <w:highlight w:val="yellow"/>
                <w14:textFill>
                  <w14:solidFill>
                    <w14:schemeClr w14:val="tx1"/>
                  </w14:solidFill>
                </w14:textFill>
              </w:rPr>
              <w:t>)；</w:t>
            </w:r>
          </w:p>
          <w:p>
            <w:pPr>
              <w:adjustRightInd w:val="0"/>
              <w:snapToGrid w:val="0"/>
              <w:spacing w:line="360" w:lineRule="auto"/>
              <w:rPr>
                <w:rFonts w:ascii="Times New Roman" w:hAnsi="Times New Roman" w:eastAsia="宋体" w:cs="Times New Roman"/>
                <w:color w:val="000000" w:themeColor="text1"/>
                <w:sz w:val="24"/>
                <w:highlight w:val="yellow"/>
                <w14:textFill>
                  <w14:solidFill>
                    <w14:schemeClr w14:val="tx1"/>
                  </w14:solidFill>
                </w14:textFill>
              </w:rPr>
            </w:pPr>
            <w:r>
              <w:rPr>
                <w:rFonts w:ascii="Times New Roman" w:hAnsi="Times New Roman" w:eastAsia="宋体" w:cs="Times New Roman"/>
                <w:color w:val="000000" w:themeColor="text1"/>
                <w:sz w:val="24"/>
                <w:highlight w:val="yellow"/>
                <w14:textFill>
                  <w14:solidFill>
                    <w14:schemeClr w14:val="tx1"/>
                  </w14:solidFill>
                </w14:textFill>
              </w:rPr>
              <w:t>（4）《中华人民共和国环境噪声污染防治法》，（2018年12月29日</w:t>
            </w:r>
            <w:r>
              <w:rPr>
                <w:rFonts w:hint="eastAsia" w:ascii="Times New Roman" w:hAnsi="Times New Roman" w:eastAsia="宋体" w:cs="Times New Roman"/>
                <w:color w:val="000000" w:themeColor="text1"/>
                <w:sz w:val="24"/>
                <w:highlight w:val="yellow"/>
                <w14:textFill>
                  <w14:solidFill>
                    <w14:schemeClr w14:val="tx1"/>
                  </w14:solidFill>
                </w14:textFill>
              </w:rPr>
              <w:t>修订</w:t>
            </w:r>
            <w:r>
              <w:rPr>
                <w:rFonts w:ascii="Times New Roman" w:hAnsi="Times New Roman" w:eastAsia="宋体" w:cs="Times New Roman"/>
                <w:color w:val="000000" w:themeColor="text1"/>
                <w:sz w:val="24"/>
                <w:highlight w:val="yellow"/>
                <w14:textFill>
                  <w14:solidFill>
                    <w14:schemeClr w14:val="tx1"/>
                  </w14:solidFill>
                </w14:textFill>
              </w:rPr>
              <w:t>）；</w:t>
            </w:r>
          </w:p>
          <w:p>
            <w:pPr>
              <w:adjustRightInd w:val="0"/>
              <w:snapToGrid w:val="0"/>
              <w:spacing w:line="360" w:lineRule="auto"/>
              <w:rPr>
                <w:rFonts w:ascii="Times New Roman" w:hAnsi="Times New Roman" w:eastAsia="宋体" w:cs="Times New Roman"/>
                <w:color w:val="000000" w:themeColor="text1"/>
                <w:sz w:val="24"/>
                <w:highlight w:val="yellow"/>
                <w14:textFill>
                  <w14:solidFill>
                    <w14:schemeClr w14:val="tx1"/>
                  </w14:solidFill>
                </w14:textFill>
              </w:rPr>
            </w:pPr>
            <w:r>
              <w:rPr>
                <w:rFonts w:ascii="Times New Roman" w:hAnsi="Times New Roman" w:eastAsia="宋体" w:cs="Times New Roman"/>
                <w:color w:val="000000" w:themeColor="text1"/>
                <w:sz w:val="24"/>
                <w:highlight w:val="yellow"/>
                <w14:textFill>
                  <w14:solidFill>
                    <w14:schemeClr w14:val="tx1"/>
                  </w14:solidFill>
                </w14:textFill>
              </w:rPr>
              <w:t>（5）《中华人民共和国固体废物污染环境防治法》，（2020年4月29日</w:t>
            </w:r>
            <w:r>
              <w:rPr>
                <w:rFonts w:hint="eastAsia" w:ascii="Times New Roman" w:hAnsi="Times New Roman" w:eastAsia="宋体" w:cs="Times New Roman"/>
                <w:color w:val="000000" w:themeColor="text1"/>
                <w:sz w:val="24"/>
                <w:highlight w:val="yellow"/>
                <w14:textFill>
                  <w14:solidFill>
                    <w14:schemeClr w14:val="tx1"/>
                  </w14:solidFill>
                </w14:textFill>
              </w:rPr>
              <w:t>修订</w:t>
            </w:r>
            <w:r>
              <w:rPr>
                <w:rFonts w:ascii="Times New Roman" w:hAnsi="Times New Roman" w:eastAsia="宋体" w:cs="Times New Roman"/>
                <w:color w:val="000000" w:themeColor="text1"/>
                <w:sz w:val="24"/>
                <w:highlight w:val="yellow"/>
                <w14:textFill>
                  <w14:solidFill>
                    <w14:schemeClr w14:val="tx1"/>
                  </w14:solidFill>
                </w14:textFill>
              </w:rPr>
              <w:t>）；</w:t>
            </w:r>
          </w:p>
          <w:p>
            <w:pPr>
              <w:adjustRightInd w:val="0"/>
              <w:snapToGrid w:val="0"/>
              <w:spacing w:line="360" w:lineRule="auto"/>
              <w:rPr>
                <w:rFonts w:ascii="Times New Roman" w:hAnsi="Times New Roman" w:eastAsia="宋体" w:cs="Times New Roman"/>
                <w:color w:val="000000" w:themeColor="text1"/>
                <w:sz w:val="24"/>
                <w:highlight w:val="yellow"/>
                <w14:textFill>
                  <w14:solidFill>
                    <w14:schemeClr w14:val="tx1"/>
                  </w14:solidFill>
                </w14:textFill>
              </w:rPr>
            </w:pPr>
            <w:r>
              <w:rPr>
                <w:rFonts w:ascii="Times New Roman" w:hAnsi="Times New Roman" w:eastAsia="宋体" w:cs="Times New Roman"/>
                <w:color w:val="000000" w:themeColor="text1"/>
                <w:sz w:val="24"/>
                <w:highlight w:val="yellow"/>
                <w14:textFill>
                  <w14:solidFill>
                    <w14:schemeClr w14:val="tx1"/>
                  </w14:solidFill>
                </w14:textFill>
              </w:rPr>
              <w:t>（6）《中华人民共和国环境影响评价法》，（2018年12月29日修订）；</w:t>
            </w:r>
          </w:p>
          <w:p>
            <w:pPr>
              <w:adjustRightInd w:val="0"/>
              <w:snapToGrid w:val="0"/>
              <w:spacing w:line="360" w:lineRule="auto"/>
              <w:rPr>
                <w:rFonts w:ascii="Times New Roman" w:hAnsi="Times New Roman" w:eastAsia="宋体" w:cs="Times New Roman"/>
                <w:color w:val="000000" w:themeColor="text1"/>
                <w:sz w:val="24"/>
                <w:highlight w:val="yellow"/>
                <w14:textFill>
                  <w14:solidFill>
                    <w14:schemeClr w14:val="tx1"/>
                  </w14:solidFill>
                </w14:textFill>
              </w:rPr>
            </w:pPr>
            <w:bookmarkStart w:id="0" w:name="_Hlk45641699"/>
            <w:r>
              <w:rPr>
                <w:rFonts w:ascii="Times New Roman" w:hAnsi="Times New Roman" w:eastAsia="宋体" w:cs="Times New Roman"/>
                <w:color w:val="000000" w:themeColor="text1"/>
                <w:sz w:val="24"/>
                <w:highlight w:val="yellow"/>
                <w14:textFill>
                  <w14:solidFill>
                    <w14:schemeClr w14:val="tx1"/>
                  </w14:solidFill>
                </w14:textFill>
              </w:rPr>
              <w:t>（7）《建设项目环境保护管理条例》，（2017年</w:t>
            </w:r>
            <w:r>
              <w:rPr>
                <w:rFonts w:hint="eastAsia" w:ascii="Times New Roman" w:hAnsi="Times New Roman" w:eastAsia="宋体" w:cs="Times New Roman"/>
                <w:color w:val="000000" w:themeColor="text1"/>
                <w:sz w:val="24"/>
                <w:highlight w:val="yellow"/>
                <w14:textFill>
                  <w14:solidFill>
                    <w14:schemeClr w14:val="tx1"/>
                  </w14:solidFill>
                </w14:textFill>
              </w:rPr>
              <w:t>7月1</w:t>
            </w:r>
            <w:r>
              <w:rPr>
                <w:rFonts w:ascii="Times New Roman" w:hAnsi="Times New Roman" w:eastAsia="宋体" w:cs="Times New Roman"/>
                <w:color w:val="000000" w:themeColor="text1"/>
                <w:sz w:val="24"/>
                <w:highlight w:val="yellow"/>
                <w14:textFill>
                  <w14:solidFill>
                    <w14:schemeClr w14:val="tx1"/>
                  </w14:solidFill>
                </w14:textFill>
              </w:rPr>
              <w:t>6</w:t>
            </w:r>
            <w:r>
              <w:rPr>
                <w:rFonts w:hint="eastAsia" w:ascii="Times New Roman" w:hAnsi="Times New Roman" w:eastAsia="宋体" w:cs="Times New Roman"/>
                <w:color w:val="000000" w:themeColor="text1"/>
                <w:sz w:val="24"/>
                <w:highlight w:val="yellow"/>
                <w14:textFill>
                  <w14:solidFill>
                    <w14:schemeClr w14:val="tx1"/>
                  </w14:solidFill>
                </w14:textFill>
              </w:rPr>
              <w:t>日</w:t>
            </w:r>
            <w:r>
              <w:rPr>
                <w:rFonts w:ascii="Times New Roman" w:hAnsi="Times New Roman" w:eastAsia="宋体" w:cs="Times New Roman"/>
                <w:color w:val="000000" w:themeColor="text1"/>
                <w:sz w:val="24"/>
                <w:highlight w:val="yellow"/>
                <w14:textFill>
                  <w14:solidFill>
                    <w14:schemeClr w14:val="tx1"/>
                  </w14:solidFill>
                </w14:textFill>
              </w:rPr>
              <w:t>修订）；</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highlight w:val="yellow"/>
                <w14:textFill>
                  <w14:solidFill>
                    <w14:schemeClr w14:val="tx1"/>
                  </w14:solidFill>
                </w14:textFill>
              </w:rPr>
              <w:t>（8）《建设项目环境影响评价分类管理名录》，（2018年4月28日</w:t>
            </w:r>
            <w:r>
              <w:rPr>
                <w:rFonts w:hint="eastAsia" w:ascii="Times New Roman" w:hAnsi="Times New Roman" w:eastAsia="宋体" w:cs="Times New Roman"/>
                <w:color w:val="000000" w:themeColor="text1"/>
                <w:sz w:val="24"/>
                <w:highlight w:val="yellow"/>
                <w14:textFill>
                  <w14:solidFill>
                    <w14:schemeClr w14:val="tx1"/>
                  </w14:solidFill>
                </w14:textFill>
              </w:rPr>
              <w:t>修订</w:t>
            </w:r>
            <w:r>
              <w:rPr>
                <w:rFonts w:ascii="Times New Roman" w:hAnsi="Times New Roman" w:eastAsia="宋体" w:cs="Times New Roman"/>
                <w:color w:val="000000" w:themeColor="text1"/>
                <w:sz w:val="24"/>
                <w:highlight w:val="yellow"/>
                <w14:textFill>
                  <w14:solidFill>
                    <w14:schemeClr w14:val="tx1"/>
                  </w14:solidFill>
                </w14:textFill>
              </w:rPr>
              <w:t>）</w:t>
            </w:r>
            <w:r>
              <w:rPr>
                <w:rFonts w:hint="eastAsia" w:ascii="Times New Roman" w:hAnsi="Times New Roman" w:eastAsia="宋体" w:cs="Times New Roman"/>
                <w:color w:val="000000" w:themeColor="text1"/>
                <w:sz w:val="24"/>
                <w:highlight w:val="yellow"/>
                <w14:textFill>
                  <w14:solidFill>
                    <w14:schemeClr w14:val="tx1"/>
                  </w14:solidFill>
                </w14:textFill>
              </w:rPr>
              <w:t>。</w:t>
            </w:r>
          </w:p>
          <w:bookmarkEnd w:id="0"/>
          <w:p>
            <w:pPr>
              <w:pStyle w:val="27"/>
              <w:spacing w:line="360" w:lineRule="auto"/>
              <w:rPr>
                <w:b/>
                <w:bCs/>
                <w:sz w:val="24"/>
                <w:szCs w:val="24"/>
              </w:rPr>
            </w:pPr>
            <w:r>
              <w:rPr>
                <w:b/>
                <w:bCs/>
                <w:sz w:val="24"/>
                <w:szCs w:val="24"/>
              </w:rPr>
              <w:t>建设项目竣工环境保护验收技术规范：</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w:t>
            </w:r>
            <w:bookmarkStart w:id="1" w:name="_Hlk45641845"/>
            <w:r>
              <w:rPr>
                <w:rFonts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14:textFill>
                  <w14:solidFill>
                    <w14:schemeClr w14:val="tx1"/>
                  </w14:solidFill>
                </w14:textFill>
              </w:rPr>
              <w:t>建设项目竣工环境保护验收技术指南—污染影响类</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生态环境部公告2</w:t>
            </w:r>
            <w:r>
              <w:rPr>
                <w:rFonts w:ascii="Times New Roman" w:hAnsi="Times New Roman" w:eastAsia="宋体" w:cs="Times New Roman"/>
                <w:color w:val="000000" w:themeColor="text1"/>
                <w:sz w:val="24"/>
                <w14:textFill>
                  <w14:solidFill>
                    <w14:schemeClr w14:val="tx1"/>
                  </w14:solidFill>
                </w14:textFill>
              </w:rPr>
              <w:t>018</w:t>
            </w:r>
            <w:r>
              <w:rPr>
                <w:rFonts w:hint="eastAsia" w:ascii="Times New Roman" w:hAnsi="Times New Roman" w:eastAsia="宋体" w:cs="Times New Roman"/>
                <w:color w:val="000000" w:themeColor="text1"/>
                <w:sz w:val="24"/>
                <w14:textFill>
                  <w14:solidFill>
                    <w14:schemeClr w14:val="tx1"/>
                  </w14:solidFill>
                </w14:textFill>
              </w:rPr>
              <w:t>年第9号</w:t>
            </w:r>
            <w:r>
              <w:rPr>
                <w:rFonts w:ascii="Times New Roman" w:hAnsi="Times New Roman" w:eastAsia="宋体" w:cs="Times New Roman"/>
                <w:color w:val="000000" w:themeColor="text1"/>
                <w:sz w:val="24"/>
                <w14:textFill>
                  <w14:solidFill>
                    <w14:schemeClr w14:val="tx1"/>
                  </w14:solidFill>
                </w14:textFill>
              </w:rPr>
              <w:t>）；</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（2）《建设项目竣工环境保护验收暂行办法》（国环规环评[2017]4号），2017年11月20日；</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（3）《排污单位自行监测技术指南总则》（HJ819-2017）；</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（4）《</w:t>
            </w:r>
            <w:r>
              <w:rPr>
                <w:rFonts w:hint="eastAsia" w:ascii="Times New Roman" w:hAnsi="Times New Roman" w:eastAsia="宋体" w:cs="Times New Roman"/>
                <w:color w:val="000000" w:themeColor="text1"/>
                <w:sz w:val="24"/>
                <w14:textFill>
                  <w14:solidFill>
                    <w14:schemeClr w14:val="tx1"/>
                  </w14:solidFill>
                </w14:textFill>
              </w:rPr>
              <w:t>关于印发建设项目竣工环境保护验收现场检查及审查要点的</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通知</w:t>
            </w:r>
            <w:r>
              <w:rPr>
                <w:rFonts w:ascii="Times New Roman" w:hAnsi="Times New Roman" w:eastAsia="宋体" w:cs="Times New Roman"/>
                <w:color w:val="000000" w:themeColor="text1"/>
                <w:sz w:val="24"/>
                <w14:textFill>
                  <w14:solidFill>
                    <w14:schemeClr w14:val="tx1"/>
                  </w14:solidFill>
                </w14:textFill>
              </w:rPr>
              <w:t>》（环办[2015]113号）；</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（5）《江苏省排污口设置及规范化整治管理办法》（原江苏省环境环保局，苏环控[97]122号文）；</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（6）</w:t>
            </w:r>
            <w:r>
              <w:rPr>
                <w:rFonts w:hint="eastAsia" w:ascii="Times New Roman" w:hAnsi="Times New Roman" w:eastAsia="宋体" w:cs="Times New Roman"/>
                <w:color w:val="000000" w:themeColor="text1"/>
                <w:sz w:val="24"/>
                <w14:textFill>
                  <w14:solidFill>
                    <w14:schemeClr w14:val="tx1"/>
                  </w14:solidFill>
                </w14:textFill>
              </w:rPr>
              <w:t>《关于印发&lt;污染影响类建设项目重大变动清单（试行）&gt;的通知》（环办环评函〔</w:t>
            </w:r>
            <w:r>
              <w:rPr>
                <w:rFonts w:ascii="Times New Roman" w:hAnsi="Times New Roman" w:eastAsia="宋体" w:cs="Times New Roman"/>
                <w:color w:val="000000" w:themeColor="text1"/>
                <w:sz w:val="24"/>
                <w14:textFill>
                  <w14:solidFill>
                    <w14:schemeClr w14:val="tx1"/>
                  </w14:solidFill>
                </w14:textFill>
              </w:rPr>
              <w:t>2020〕688号</w:t>
            </w:r>
            <w:r>
              <w:rPr>
                <w:rFonts w:hint="eastAsia" w:ascii="Times New Roman" w:hAnsi="Times New Roman" w:eastAsia="宋体" w:cs="Times New Roman"/>
                <w:color w:val="000000" w:themeColor="text1"/>
                <w:sz w:val="24"/>
                <w14:textFill>
                  <w14:solidFill>
                    <w14:schemeClr w14:val="tx1"/>
                  </w14:solidFill>
                </w14:textFill>
              </w:rPr>
              <w:t>）</w:t>
            </w:r>
            <w:r>
              <w:rPr>
                <w:rFonts w:ascii="Times New Roman" w:hAnsi="Times New Roman" w:eastAsia="宋体" w:cs="Times New Roman"/>
                <w:color w:val="000000" w:themeColor="text1"/>
                <w:sz w:val="24"/>
                <w14:textFill>
                  <w14:solidFill>
                    <w14:schemeClr w14:val="tx1"/>
                  </w14:solidFill>
                </w14:textFill>
              </w:rPr>
              <w:t>；</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（7）《环境空气质量手工监测技术规范》（HJ/T194-2017）；</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（8）《工业企业厂界环境噪声排放标准》（GB12348-2008）；</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（9）《</w:t>
            </w:r>
            <w:r>
              <w:rPr>
                <w:rFonts w:hint="eastAsia" w:ascii="Times New Roman" w:hAnsi="Times New Roman" w:eastAsia="宋体" w:cs="Times New Roman"/>
                <w:color w:val="000000" w:themeColor="text1"/>
                <w:sz w:val="24"/>
                <w14:textFill>
                  <w14:solidFill>
                    <w14:schemeClr w14:val="tx1"/>
                  </w14:solidFill>
                </w14:textFill>
              </w:rPr>
              <w:t>一般工业固体废物贮存和填埋污染控制标准</w:t>
            </w:r>
            <w:r>
              <w:rPr>
                <w:rFonts w:ascii="Times New Roman" w:hAnsi="Times New Roman" w:eastAsia="宋体" w:cs="Times New Roman"/>
                <w:color w:val="000000" w:themeColor="text1"/>
                <w:sz w:val="24"/>
                <w14:textFill>
                  <w14:solidFill>
                    <w14:schemeClr w14:val="tx1"/>
                  </w14:solidFill>
                </w14:textFill>
              </w:rPr>
              <w:t>》（GB18599-2020）（2021年7月1日实施）；</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（10）《</w:t>
            </w:r>
            <w:r>
              <w:rPr>
                <w:rFonts w:hint="eastAsia" w:ascii="Times New Roman" w:hAnsi="Times New Roman" w:eastAsia="宋体" w:cs="Times New Roman"/>
                <w:color w:val="000000" w:themeColor="text1"/>
                <w:sz w:val="24"/>
                <w14:textFill>
                  <w14:solidFill>
                    <w14:schemeClr w14:val="tx1"/>
                  </w14:solidFill>
                </w14:textFill>
              </w:rPr>
              <w:t>省生态环境厅关于加强涉变动项目环评与排污许可管理衔接的通知</w:t>
            </w:r>
            <w:r>
              <w:rPr>
                <w:rFonts w:ascii="Times New Roman" w:hAnsi="Times New Roman" w:eastAsia="宋体" w:cs="Times New Roman"/>
                <w:color w:val="000000" w:themeColor="text1"/>
                <w:sz w:val="24"/>
                <w14:textFill>
                  <w14:solidFill>
                    <w14:schemeClr w14:val="tx1"/>
                  </w14:solidFill>
                </w14:textFill>
              </w:rPr>
              <w:t>》（苏环办〔2021〕122号）</w:t>
            </w:r>
            <w:bookmarkEnd w:id="1"/>
            <w:r>
              <w:rPr>
                <w:rFonts w:ascii="Times New Roman" w:hAnsi="Times New Roman" w:eastAsia="宋体" w:cs="Times New Roman"/>
                <w:color w:val="000000" w:themeColor="text1"/>
                <w:sz w:val="24"/>
                <w14:textFill>
                  <w14:solidFill>
                    <w14:schemeClr w14:val="tx1"/>
                  </w14:solidFill>
                </w14:textFill>
              </w:rPr>
              <w:t>。</w:t>
            </w:r>
          </w:p>
          <w:p>
            <w:pPr>
              <w:pStyle w:val="27"/>
              <w:spacing w:line="360" w:lineRule="auto"/>
              <w:rPr>
                <w:b/>
                <w:bCs/>
                <w:sz w:val="24"/>
                <w:szCs w:val="24"/>
              </w:rPr>
            </w:pPr>
            <w:r>
              <w:rPr>
                <w:b/>
                <w:bCs/>
                <w:sz w:val="24"/>
                <w:szCs w:val="24"/>
              </w:rPr>
              <w:t>建设项目环境影响报告书（表）及审批部门审批决定：</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bookmarkStart w:id="2" w:name="_Hlk45644119"/>
            <w:r>
              <w:rPr>
                <w:rFonts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14:textFill>
                  <w14:solidFill>
                    <w14:schemeClr w14:val="tx1"/>
                  </w14:solidFill>
                </w14:textFill>
              </w:rPr>
              <w:t>江苏乐开机电有限公司冷锻产品和模具加工建设</w:t>
            </w:r>
            <w:r>
              <w:rPr>
                <w:rFonts w:ascii="Times New Roman" w:hAnsi="Times New Roman" w:eastAsia="宋体" w:cs="Times New Roman"/>
                <w:color w:val="000000" w:themeColor="text1"/>
                <w:sz w:val="24"/>
                <w14:textFill>
                  <w14:solidFill>
                    <w14:schemeClr w14:val="tx1"/>
                  </w14:solidFill>
                </w14:textFill>
              </w:rPr>
              <w:t>项目环境影响报告表》(江苏南大环保科技有限公司，2021年）；</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w:t>
            </w:r>
            <w:r>
              <w:rPr>
                <w:rFonts w:hint="eastAsia" w:ascii="Times New Roman" w:hAnsi="Times New Roman" w:eastAsia="宋体" w:cs="Times New Roman"/>
                <w:color w:val="000000" w:themeColor="text1"/>
                <w:sz w:val="24"/>
                <w14:textFill>
                  <w14:solidFill>
                    <w14:schemeClr w14:val="tx1"/>
                  </w14:solidFill>
                </w14:textFill>
              </w:rPr>
              <w:t>江苏乐开机电有限公司冷锻产品和模具加工建设</w:t>
            </w:r>
            <w:r>
              <w:rPr>
                <w:rFonts w:ascii="Times New Roman" w:hAnsi="Times New Roman" w:eastAsia="宋体" w:cs="Times New Roman"/>
                <w:color w:val="000000" w:themeColor="text1"/>
                <w:sz w:val="24"/>
                <w14:textFill>
                  <w14:solidFill>
                    <w14:schemeClr w14:val="tx1"/>
                  </w14:solidFill>
                </w14:textFill>
              </w:rPr>
              <w:t>项目环境影响报告表的审批意见》。（</w:t>
            </w:r>
            <w:r>
              <w:rPr>
                <w:rFonts w:hint="eastAsia" w:ascii="Times New Roman" w:hAnsi="Times New Roman" w:eastAsia="宋体" w:cs="Times New Roman"/>
                <w:color w:val="000000" w:themeColor="text1"/>
                <w:sz w:val="24"/>
                <w14:textFill>
                  <w14:solidFill>
                    <w14:schemeClr w14:val="tx1"/>
                  </w14:solidFill>
                </w14:textFill>
              </w:rPr>
              <w:t>盐城市生态环境局</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盐环表复</w:t>
            </w:r>
            <w:r>
              <w:rPr>
                <w:rFonts w:ascii="Times New Roman" w:hAnsi="Times New Roman" w:eastAsia="宋体" w:cs="Times New Roman"/>
                <w:color w:val="000000" w:themeColor="text1"/>
                <w:sz w:val="24"/>
                <w14:textFill>
                  <w14:solidFill>
                    <w14:schemeClr w14:val="tx1"/>
                  </w14:solidFill>
                </w14:textFill>
              </w:rPr>
              <w:t>[2021]82131号，2021年10月11日）</w:t>
            </w:r>
            <w:bookmarkEnd w:id="2"/>
            <w:r>
              <w:rPr>
                <w:rFonts w:hint="eastAsia" w:ascii="Times New Roman" w:hAnsi="Times New Roman" w:eastAsia="宋体" w:cs="Times New Roman"/>
                <w:color w:val="000000" w:themeColor="text1"/>
                <w:sz w:val="24"/>
                <w14:textFill>
                  <w14:solidFill>
                    <w14:schemeClr w14:val="tx1"/>
                  </w14:solidFill>
                </w14:textFill>
              </w:rPr>
              <w:t>。</w:t>
            </w:r>
          </w:p>
          <w:p>
            <w:pPr>
              <w:pStyle w:val="27"/>
              <w:spacing w:line="360" w:lineRule="auto"/>
              <w:rPr>
                <w:b/>
                <w:bCs/>
                <w:sz w:val="24"/>
                <w:szCs w:val="24"/>
              </w:rPr>
            </w:pPr>
            <w:r>
              <w:rPr>
                <w:rFonts w:hint="eastAsia"/>
                <w:b/>
                <w:bCs/>
                <w:sz w:val="24"/>
                <w:szCs w:val="24"/>
              </w:rPr>
              <w:t>其他相关文件</w:t>
            </w:r>
            <w:r>
              <w:rPr>
                <w:b/>
                <w:bCs/>
                <w:sz w:val="24"/>
                <w:szCs w:val="24"/>
              </w:rPr>
              <w:t>：</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w:t>
            </w:r>
            <w:r>
              <w:rPr>
                <w:rFonts w:hint="eastAsia" w:ascii="Times New Roman" w:hAnsi="Times New Roman" w:eastAsia="宋体" w:cs="Times New Roman"/>
                <w:color w:val="000000" w:themeColor="text1"/>
                <w:sz w:val="24"/>
                <w14:textFill>
                  <w14:solidFill>
                    <w14:schemeClr w14:val="tx1"/>
                  </w14:solidFill>
                </w14:textFill>
              </w:rPr>
              <w:t>浙江易测环境科技有限公司出具的验收监测报告（第</w:t>
            </w:r>
            <w:r>
              <w:rPr>
                <w:rFonts w:ascii="Times New Roman" w:hAnsi="Times New Roman" w:eastAsia="楷体" w:cs="Times New Roman"/>
                <w:color w:val="000000" w:themeColor="text1"/>
                <w:sz w:val="24"/>
                <w:u w:val="single"/>
                <w14:textFill>
                  <w14:solidFill>
                    <w14:schemeClr w14:val="tx1"/>
                  </w14:solidFill>
                </w14:textFill>
              </w:rPr>
              <w:t>YC</w:t>
            </w:r>
            <w:r>
              <w:rPr>
                <w:rFonts w:hint="eastAsia" w:ascii="Times New Roman" w:hAnsi="Times New Roman" w:eastAsia="楷体" w:cs="Times New Roman"/>
                <w:color w:val="000000" w:themeColor="text1"/>
                <w:sz w:val="24"/>
                <w:u w:val="single"/>
                <w14:textFill>
                  <w14:solidFill>
                    <w14:schemeClr w14:val="tx1"/>
                  </w14:solidFill>
                </w14:textFill>
              </w:rPr>
              <w:t>E20222320</w:t>
            </w:r>
            <w:r>
              <w:rPr>
                <w:rFonts w:ascii="Times New Roman" w:hAnsi="Times New Roman" w:eastAsia="楷体" w:cs="Times New Roman"/>
                <w:color w:val="000000" w:themeColor="text1"/>
                <w:sz w:val="24"/>
                <w:u w:val="single"/>
                <w14:textFill>
                  <w14:solidFill>
                    <w14:schemeClr w14:val="tx1"/>
                  </w14:solidFill>
                </w14:textFill>
              </w:rPr>
              <w:t>-1</w:t>
            </w:r>
            <w:r>
              <w:rPr>
                <w:rFonts w:hint="eastAsia" w:ascii="Times New Roman" w:hAnsi="Times New Roman" w:eastAsia="宋体" w:cs="Times New Roman"/>
                <w:color w:val="000000" w:themeColor="text1"/>
                <w:sz w:val="24"/>
                <w14:textFill>
                  <w14:solidFill>
                    <w14:schemeClr w14:val="tx1"/>
                  </w14:solidFill>
                </w14:textFill>
              </w:rPr>
              <w:t>号）。</w:t>
            </w:r>
          </w:p>
          <w:p>
            <w:pPr>
              <w:adjustRightInd w:val="0"/>
              <w:snapToGrid w:val="0"/>
              <w:spacing w:line="360" w:lineRule="auto"/>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（2）江苏乐开机电有限公司提供的其他资料。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1696" w:type="dxa"/>
            <w:vAlign w:val="center"/>
          </w:tcPr>
          <w:p>
            <w:pPr>
              <w:adjustRightInd w:val="0"/>
              <w:snapToGrid w:val="0"/>
              <w:jc w:val="center"/>
              <w:rPr>
                <w:rFonts w:ascii="Times New Roman" w:hAnsi="Times New Roman" w:eastAsia="宋体" w:cs="Times New Roman"/>
                <w:b/>
                <w:bCs/>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验收监测</w:t>
            </w:r>
            <w:r>
              <w:rPr>
                <w:rFonts w:hint="eastAsia" w:ascii="Times New Roman" w:hAnsi="Times New Roman" w:eastAsia="宋体" w:cs="Times New Roman"/>
                <w:b/>
                <w:bCs/>
                <w:color w:val="000000" w:themeColor="text1"/>
                <w:sz w:val="24"/>
                <w14:textFill>
                  <w14:solidFill>
                    <w14:schemeClr w14:val="tx1"/>
                  </w14:solidFill>
                </w14:textFill>
              </w:rPr>
              <w:t>评价</w:t>
            </w:r>
            <w:r>
              <w:rPr>
                <w:rFonts w:ascii="Times New Roman" w:hAnsi="Times New Roman" w:eastAsia="宋体" w:cs="Times New Roman"/>
                <w:b/>
                <w:bCs/>
                <w:color w:val="000000" w:themeColor="text1"/>
                <w:sz w:val="24"/>
                <w14:textFill>
                  <w14:solidFill>
                    <w14:schemeClr w14:val="tx1"/>
                  </w14:solidFill>
                </w14:textFill>
              </w:rPr>
              <w:t>标准</w:t>
            </w:r>
            <w:r>
              <w:rPr>
                <w:rFonts w:hint="eastAsia" w:ascii="Times New Roman" w:hAnsi="Times New Roman" w:eastAsia="宋体" w:cs="Times New Roman"/>
                <w:b/>
                <w:bCs/>
                <w:color w:val="000000" w:themeColor="text1"/>
                <w:sz w:val="24"/>
                <w14:textFill>
                  <w14:solidFill>
                    <w14:schemeClr w14:val="tx1"/>
                  </w14:solidFill>
                </w14:textFill>
              </w:rPr>
              <w:t>、</w:t>
            </w:r>
            <w:r>
              <w:rPr>
                <w:rFonts w:ascii="Times New Roman" w:hAnsi="Times New Roman" w:eastAsia="宋体" w:cs="Times New Roman"/>
                <w:b/>
                <w:bCs/>
                <w:color w:val="000000" w:themeColor="text1"/>
                <w:sz w:val="24"/>
                <w14:textFill>
                  <w14:solidFill>
                    <w14:schemeClr w14:val="tx1"/>
                  </w14:solidFill>
                </w14:textFill>
              </w:rPr>
              <w:t>标号、级别</w:t>
            </w:r>
            <w:r>
              <w:rPr>
                <w:rFonts w:hint="eastAsia" w:ascii="Times New Roman" w:hAnsi="Times New Roman" w:eastAsia="宋体" w:cs="Times New Roman"/>
                <w:b/>
                <w:bCs/>
                <w:color w:val="000000" w:themeColor="text1"/>
                <w:sz w:val="24"/>
                <w14:textFill>
                  <w14:solidFill>
                    <w14:schemeClr w14:val="tx1"/>
                  </w14:solidFill>
                </w14:textFill>
              </w:rPr>
              <w:t>、限值</w:t>
            </w:r>
          </w:p>
        </w:tc>
        <w:tc>
          <w:tcPr>
            <w:tcW w:w="7318" w:type="dxa"/>
            <w:gridSpan w:val="7"/>
            <w:vAlign w:val="center"/>
          </w:tcPr>
          <w:p>
            <w:pPr>
              <w:tabs>
                <w:tab w:val="left" w:pos="721"/>
                <w:tab w:val="center" w:pos="3436"/>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污染物排放</w:t>
            </w:r>
            <w:r>
              <w:rPr>
                <w:rFonts w:ascii="Times New Roman" w:hAnsi="Times New Roman" w:eastAsia="宋体" w:cs="Times New Roman"/>
                <w:sz w:val="24"/>
              </w:rPr>
              <w:t>标准：</w:t>
            </w:r>
          </w:p>
          <w:p>
            <w:pPr>
              <w:tabs>
                <w:tab w:val="left" w:pos="721"/>
                <w:tab w:val="center" w:pos="3436"/>
              </w:tabs>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sz w:val="24"/>
              </w:rPr>
              <w:t>根据</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江苏乐开机电有限公司冷锻产品和模具加工建设</w:t>
            </w:r>
            <w:r>
              <w:rPr>
                <w:rFonts w:ascii="Times New Roman" w:hAnsi="Times New Roman" w:eastAsia="宋体" w:cs="Times New Roman"/>
                <w:color w:val="000000" w:themeColor="text1"/>
                <w:sz w:val="24"/>
                <w14:textFill>
                  <w14:solidFill>
                    <w14:schemeClr w14:val="tx1"/>
                  </w14:solidFill>
                </w14:textFill>
              </w:rPr>
              <w:t>项目环境影响报告表》(江苏南大环保科技有限公司，2021年）以及盐城市</w:t>
            </w:r>
            <w:r>
              <w:rPr>
                <w:rFonts w:hint="eastAsia" w:ascii="Times New Roman" w:hAnsi="Times New Roman" w:eastAsia="宋体" w:cs="Times New Roman"/>
                <w:color w:val="000000" w:themeColor="text1"/>
                <w:sz w:val="24"/>
                <w14:textFill>
                  <w14:solidFill>
                    <w14:schemeClr w14:val="tx1"/>
                  </w14:solidFill>
                </w14:textFill>
              </w:rPr>
              <w:t>生态环境</w:t>
            </w:r>
            <w:r>
              <w:rPr>
                <w:rFonts w:ascii="Times New Roman" w:hAnsi="Times New Roman" w:eastAsia="宋体" w:cs="Times New Roman"/>
                <w:color w:val="000000" w:themeColor="text1"/>
                <w:sz w:val="24"/>
                <w14:textFill>
                  <w14:solidFill>
                    <w14:schemeClr w14:val="tx1"/>
                  </w14:solidFill>
                </w14:textFill>
              </w:rPr>
              <w:t>局</w:t>
            </w:r>
            <w:r>
              <w:rPr>
                <w:rFonts w:hint="eastAsia" w:ascii="Times New Roman" w:hAnsi="Times New Roman" w:eastAsia="宋体" w:cs="Times New Roman"/>
                <w:color w:val="000000" w:themeColor="text1"/>
                <w:sz w:val="24"/>
                <w14:textFill>
                  <w14:solidFill>
                    <w14:schemeClr w14:val="tx1"/>
                  </w14:solidFill>
                </w14:textFill>
              </w:rPr>
              <w:t>出具的该项目批复意见</w:t>
            </w:r>
            <w:r>
              <w:rPr>
                <w:rFonts w:ascii="Times New Roman" w:hAnsi="Times New Roman" w:eastAsia="宋体" w:cs="Times New Roman"/>
                <w:color w:val="000000" w:themeColor="text1"/>
                <w:sz w:val="24"/>
                <w14:textFill>
                  <w14:solidFill>
                    <w14:schemeClr w14:val="tx1"/>
                  </w14:solidFill>
                </w14:textFill>
              </w:rPr>
              <w:t>（</w:t>
            </w:r>
            <w:r>
              <w:rPr>
                <w:rFonts w:hint="eastAsia" w:ascii="Times New Roman" w:hAnsi="Times New Roman" w:eastAsia="宋体" w:cs="Times New Roman"/>
                <w:color w:val="000000" w:themeColor="text1"/>
                <w:sz w:val="24"/>
                <w14:textFill>
                  <w14:solidFill>
                    <w14:schemeClr w14:val="tx1"/>
                  </w14:solidFill>
                </w14:textFill>
              </w:rPr>
              <w:t>盐环表复</w:t>
            </w:r>
            <w:r>
              <w:rPr>
                <w:rFonts w:ascii="Times New Roman" w:hAnsi="Times New Roman" w:eastAsia="宋体" w:cs="Times New Roman"/>
                <w:color w:val="000000" w:themeColor="text1"/>
                <w:sz w:val="24"/>
                <w14:textFill>
                  <w14:solidFill>
                    <w14:schemeClr w14:val="tx1"/>
                  </w14:solidFill>
                </w14:textFill>
              </w:rPr>
              <w:t>[2021]82131号）的要求</w:t>
            </w:r>
            <w:r>
              <w:rPr>
                <w:rFonts w:hint="eastAsia" w:ascii="Times New Roman" w:hAnsi="Times New Roman" w:eastAsia="宋体" w:cs="Times New Roman"/>
                <w:color w:val="000000" w:themeColor="text1"/>
                <w:sz w:val="24"/>
                <w14:textFill>
                  <w14:solidFill>
                    <w14:schemeClr w14:val="tx1"/>
                  </w14:solidFill>
                </w14:textFill>
              </w:rPr>
              <w:t>，对环评执行标准进行查新、比对，本次验收涉及废水、废气、噪声、固废，标准较环评时期未发生变化。</w:t>
            </w:r>
            <w:r>
              <w:rPr>
                <w:rFonts w:ascii="Times New Roman" w:hAnsi="Times New Roman" w:eastAsia="宋体" w:cs="Times New Roman"/>
                <w:color w:val="000000" w:themeColor="text1"/>
                <w:sz w:val="24"/>
                <w14:textFill>
                  <w14:solidFill>
                    <w14:schemeClr w14:val="tx1"/>
                  </w14:solidFill>
                </w14:textFill>
              </w:rPr>
              <w:t>本项目运行中产生的污染物具体执行标准如</w:t>
            </w:r>
            <w:r>
              <w:rPr>
                <w:rFonts w:hint="eastAsia" w:ascii="Times New Roman" w:hAnsi="Times New Roman" w:eastAsia="宋体" w:cs="Times New Roman"/>
                <w:color w:val="000000" w:themeColor="text1"/>
                <w:sz w:val="24"/>
                <w14:textFill>
                  <w14:solidFill>
                    <w14:schemeClr w14:val="tx1"/>
                  </w14:solidFill>
                </w14:textFill>
              </w:rPr>
              <w:t>表1</w:t>
            </w:r>
            <w:r>
              <w:rPr>
                <w:rFonts w:ascii="Times New Roman" w:hAnsi="Times New Roman" w:eastAsia="宋体" w:cs="Times New Roman"/>
                <w:color w:val="000000" w:themeColor="text1"/>
                <w:sz w:val="24"/>
                <w14:textFill>
                  <w14:solidFill>
                    <w14:schemeClr w14:val="tx1"/>
                  </w14:solidFill>
                </w14:textFill>
              </w:rPr>
              <w:t>-1所示：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9014" w:type="dxa"/>
            <w:gridSpan w:val="8"/>
            <w:vAlign w:val="center"/>
          </w:tcPr>
          <w:p>
            <w:pPr>
              <w:adjustRightInd w:val="0"/>
              <w:snapToGrid w:val="0"/>
              <w:jc w:val="center"/>
              <w:rPr>
                <w:rFonts w:ascii="Times New Roman" w:hAnsi="Times New Roman" w:eastAsia="宋体" w:cs="Times New Roman"/>
                <w:b/>
                <w:color w:val="000000"/>
                <w:sz w:val="24"/>
              </w:rPr>
            </w:pPr>
            <w:r>
              <w:rPr>
                <w:rFonts w:hint="eastAsia" w:ascii="Times New Roman" w:hAnsi="Times New Roman" w:eastAsia="宋体" w:cs="Times New Roman"/>
                <w:b/>
                <w:color w:val="000000"/>
                <w:sz w:val="24"/>
              </w:rPr>
              <w:t>表1</w:t>
            </w:r>
            <w:r>
              <w:rPr>
                <w:rFonts w:ascii="Times New Roman" w:hAnsi="Times New Roman" w:eastAsia="宋体" w:cs="Times New Roman"/>
                <w:b/>
                <w:color w:val="000000"/>
                <w:sz w:val="24"/>
              </w:rPr>
              <w:t xml:space="preserve">-1  </w:t>
            </w:r>
            <w:r>
              <w:rPr>
                <w:rFonts w:hint="eastAsia" w:ascii="Times New Roman" w:hAnsi="Times New Roman" w:eastAsia="宋体" w:cs="Times New Roman"/>
                <w:b/>
                <w:color w:val="000000"/>
                <w:sz w:val="24"/>
              </w:rPr>
              <w:t>建设项目验收监测执行标准</w:t>
            </w:r>
          </w:p>
          <w:tbl>
            <w:tblPr>
              <w:tblStyle w:val="17"/>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68"/>
              <w:gridCol w:w="1097"/>
              <w:gridCol w:w="1210"/>
              <w:gridCol w:w="1285"/>
              <w:gridCol w:w="1024"/>
              <w:gridCol w:w="1498"/>
              <w:gridCol w:w="210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41" w:type="pct"/>
                  <w:vMerge w:val="restar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项目</w:t>
                  </w:r>
                </w:p>
              </w:tc>
              <w:tc>
                <w:tcPr>
                  <w:tcW w:w="642" w:type="pct"/>
                  <w:vMerge w:val="restar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污染源</w:t>
                  </w:r>
                </w:p>
              </w:tc>
              <w:tc>
                <w:tcPr>
                  <w:tcW w:w="706" w:type="pct"/>
                  <w:vMerge w:val="restart"/>
                  <w:shd w:val="clear" w:color="auto" w:fill="FFFFFF" w:themeFill="background1"/>
                  <w:vAlign w:val="center"/>
                </w:tcPr>
                <w:p>
                  <w:pPr>
                    <w:jc w:val="center"/>
                    <w:rPr>
                      <w:rFonts w:ascii="Times New Roman" w:hAnsi="Times New Roman" w:eastAsia="宋体" w:cs="Times New Roman"/>
                      <w:b/>
                      <w:bCs/>
                      <w:color w:val="FF0000"/>
                      <w:kern w:val="0"/>
                      <w:szCs w:val="21"/>
                    </w:rPr>
                  </w:pPr>
                  <w:r>
                    <w:rPr>
                      <w:rFonts w:ascii="Times New Roman" w:hAnsi="Times New Roman" w:eastAsia="宋体" w:cs="Times New Roman"/>
                      <w:b/>
                      <w:bCs/>
                      <w:kern w:val="0"/>
                      <w:szCs w:val="21"/>
                    </w:rPr>
                    <w:t>实际处理措施</w:t>
                  </w:r>
                </w:p>
              </w:tc>
              <w:tc>
                <w:tcPr>
                  <w:tcW w:w="3311" w:type="pct"/>
                  <w:gridSpan w:val="4"/>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实际排放标准限值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41" w:type="pct"/>
                  <w:vMerge w:val="continue"/>
                  <w:shd w:val="clear" w:color="auto" w:fill="FFFFFF" w:themeFill="background1"/>
                  <w:vAlign w:val="center"/>
                </w:tcPr>
                <w:p>
                  <w:pPr>
                    <w:jc w:val="center"/>
                    <w:rPr>
                      <w:rFonts w:ascii="Times New Roman" w:hAnsi="Times New Roman" w:eastAsia="宋体" w:cs="Times New Roman"/>
                      <w:b/>
                      <w:bCs/>
                      <w:kern w:val="0"/>
                      <w:szCs w:val="21"/>
                    </w:rPr>
                  </w:pPr>
                </w:p>
              </w:tc>
              <w:tc>
                <w:tcPr>
                  <w:tcW w:w="642" w:type="pct"/>
                  <w:vMerge w:val="continue"/>
                  <w:shd w:val="clear" w:color="auto" w:fill="FFFFFF" w:themeFill="background1"/>
                  <w:vAlign w:val="center"/>
                </w:tcPr>
                <w:p>
                  <w:pPr>
                    <w:jc w:val="center"/>
                    <w:rPr>
                      <w:rFonts w:ascii="Times New Roman" w:hAnsi="Times New Roman" w:eastAsia="宋体" w:cs="Times New Roman"/>
                      <w:b/>
                      <w:bCs/>
                      <w:kern w:val="0"/>
                      <w:szCs w:val="21"/>
                    </w:rPr>
                  </w:pPr>
                </w:p>
              </w:tc>
              <w:tc>
                <w:tcPr>
                  <w:tcW w:w="706" w:type="pct"/>
                  <w:vMerge w:val="continue"/>
                  <w:shd w:val="clear" w:color="auto" w:fill="FFFFFF" w:themeFill="background1"/>
                  <w:vAlign w:val="center"/>
                </w:tcPr>
                <w:p>
                  <w:pPr>
                    <w:jc w:val="center"/>
                    <w:rPr>
                      <w:rFonts w:ascii="Times New Roman" w:hAnsi="Times New Roman" w:eastAsia="宋体" w:cs="Times New Roman"/>
                      <w:b/>
                      <w:bCs/>
                      <w:color w:val="FF0000"/>
                      <w:kern w:val="0"/>
                      <w:szCs w:val="21"/>
                    </w:rPr>
                  </w:pPr>
                </w:p>
              </w:tc>
              <w:tc>
                <w:tcPr>
                  <w:tcW w:w="749"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最高允许排放浓度(mg/m</w:t>
                  </w:r>
                  <w:r>
                    <w:rPr>
                      <w:rFonts w:ascii="Times New Roman" w:hAnsi="Times New Roman" w:eastAsia="宋体" w:cs="Times New Roman"/>
                      <w:b/>
                      <w:bCs/>
                      <w:kern w:val="0"/>
                      <w:szCs w:val="21"/>
                      <w:vertAlign w:val="superscript"/>
                    </w:rPr>
                    <w:t>3</w:t>
                  </w:r>
                  <w:r>
                    <w:rPr>
                      <w:rFonts w:ascii="Times New Roman" w:hAnsi="Times New Roman" w:eastAsia="宋体" w:cs="Times New Roman"/>
                      <w:b/>
                      <w:bCs/>
                      <w:kern w:val="0"/>
                      <w:szCs w:val="21"/>
                    </w:rPr>
                    <w:t>)</w:t>
                  </w:r>
                </w:p>
              </w:tc>
              <w:tc>
                <w:tcPr>
                  <w:tcW w:w="600"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最高允许排放速率(kg/h)</w:t>
                  </w:r>
                </w:p>
              </w:tc>
              <w:tc>
                <w:tcPr>
                  <w:tcW w:w="870"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厂界大气污染物监控浓度限值(mg/m</w:t>
                  </w:r>
                  <w:r>
                    <w:rPr>
                      <w:rFonts w:ascii="Times New Roman" w:hAnsi="Times New Roman" w:eastAsia="宋体" w:cs="Times New Roman"/>
                      <w:b/>
                      <w:bCs/>
                      <w:kern w:val="0"/>
                      <w:szCs w:val="21"/>
                      <w:vertAlign w:val="superscript"/>
                    </w:rPr>
                    <w:t>3</w:t>
                  </w:r>
                  <w:r>
                    <w:rPr>
                      <w:rFonts w:ascii="Times New Roman" w:hAnsi="Times New Roman" w:eastAsia="宋体" w:cs="Times New Roman"/>
                      <w:b/>
                      <w:bCs/>
                      <w:kern w:val="0"/>
                      <w:szCs w:val="21"/>
                    </w:rPr>
                    <w:t>)</w:t>
                  </w:r>
                </w:p>
              </w:tc>
              <w:tc>
                <w:tcPr>
                  <w:tcW w:w="1092"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标准来源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41"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废气</w:t>
                  </w:r>
                </w:p>
              </w:tc>
              <w:tc>
                <w:tcPr>
                  <w:tcW w:w="642" w:type="pc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抛丸、喷砂工段产生的颗粒物</w:t>
                  </w:r>
                </w:p>
              </w:tc>
              <w:tc>
                <w:tcPr>
                  <w:tcW w:w="706" w:type="pct"/>
                  <w:shd w:val="clear" w:color="auto" w:fill="FFFFFF" w:themeFill="background1"/>
                  <w:vAlign w:val="center"/>
                </w:tcPr>
                <w:p>
                  <w:pPr>
                    <w:jc w:val="center"/>
                    <w:rPr>
                      <w:rFonts w:ascii="Times New Roman" w:hAnsi="Times New Roman" w:eastAsia="宋体" w:cs="Times New Roman"/>
                      <w:color w:val="FF0000"/>
                      <w:kern w:val="0"/>
                      <w:szCs w:val="21"/>
                    </w:rPr>
                  </w:pPr>
                  <w:r>
                    <w:rPr>
                      <w:rFonts w:ascii="Times New Roman" w:hAnsi="Times New Roman" w:eastAsia="宋体" w:cs="Times New Roman"/>
                      <w:kern w:val="0"/>
                      <w:szCs w:val="21"/>
                    </w:rPr>
                    <w:t>布袋除尘+15m排气筒（FQ-1）</w:t>
                  </w:r>
                </w:p>
              </w:tc>
              <w:tc>
                <w:tcPr>
                  <w:tcW w:w="749"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20</w:t>
                  </w:r>
                </w:p>
              </w:tc>
              <w:tc>
                <w:tcPr>
                  <w:tcW w:w="600"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1</w:t>
                  </w:r>
                </w:p>
              </w:tc>
              <w:tc>
                <w:tcPr>
                  <w:tcW w:w="870"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0.5</w:t>
                  </w:r>
                </w:p>
              </w:tc>
              <w:tc>
                <w:tcPr>
                  <w:tcW w:w="109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《大气污染物综合排放标准》（DB32/4041-2021）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项目</w:t>
                  </w:r>
                </w:p>
              </w:tc>
              <w:tc>
                <w:tcPr>
                  <w:tcW w:w="3311" w:type="pct"/>
                  <w:gridSpan w:val="4"/>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实际处理措施及排放标准限值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废水</w:t>
                  </w:r>
                </w:p>
              </w:tc>
              <w:tc>
                <w:tcPr>
                  <w:tcW w:w="3311" w:type="pct"/>
                  <w:gridSpan w:val="4"/>
                  <w:shd w:val="clear" w:color="auto" w:fill="FFFFFF" w:themeFill="background1"/>
                  <w:vAlign w:val="center"/>
                </w:tcPr>
                <w:p>
                  <w:pPr>
                    <w:rPr>
                      <w:rFonts w:ascii="Times New Roman" w:hAnsi="Times New Roman" w:eastAsia="宋体" w:cs="Times New Roman"/>
                      <w:kern w:val="0"/>
                      <w:szCs w:val="21"/>
                    </w:rPr>
                  </w:pPr>
                  <w:r>
                    <w:rPr>
                      <w:rFonts w:ascii="Times New Roman" w:hAnsi="Times New Roman" w:eastAsia="宋体" w:cs="Times New Roman"/>
                      <w:kern w:val="0"/>
                      <w:szCs w:val="21"/>
                    </w:rPr>
                    <w:t>生活污水</w:t>
                  </w:r>
                  <w:r>
                    <w:rPr>
                      <w:rFonts w:hint="eastAsia" w:ascii="Times New Roman" w:hAnsi="Times New Roman" w:eastAsia="宋体" w:cs="Times New Roman"/>
                      <w:kern w:val="0"/>
                      <w:szCs w:val="21"/>
                    </w:rPr>
                    <w:t>经化粪池处理、</w:t>
                  </w:r>
                  <w:r>
                    <w:rPr>
                      <w:rFonts w:ascii="Times New Roman" w:hAnsi="Times New Roman" w:eastAsia="宋体" w:cs="Times New Roman"/>
                      <w:kern w:val="0"/>
                      <w:szCs w:val="21"/>
                    </w:rPr>
                    <w:t>生产废水经过自建污水站处理后</w:t>
                  </w:r>
                  <w:r>
                    <w:rPr>
                      <w:rFonts w:hint="eastAsia" w:ascii="Times New Roman" w:hAnsi="Times New Roman" w:eastAsia="宋体" w:cs="Times New Roman"/>
                      <w:kern w:val="0"/>
                      <w:szCs w:val="21"/>
                    </w:rPr>
                    <w:t>，废水一并</w:t>
                  </w:r>
                  <w:r>
                    <w:rPr>
                      <w:rFonts w:ascii="Times New Roman" w:hAnsi="Times New Roman" w:eastAsia="宋体" w:cs="Times New Roman"/>
                      <w:kern w:val="0"/>
                      <w:szCs w:val="21"/>
                    </w:rPr>
                    <w:t>排入</w:t>
                  </w:r>
                  <w:r>
                    <w:rPr>
                      <w:rFonts w:hint="eastAsia" w:ascii="Times New Roman" w:hAnsi="Times New Roman" w:eastAsia="宋体" w:cs="Times New Roman"/>
                      <w:kern w:val="0"/>
                      <w:szCs w:val="21"/>
                    </w:rPr>
                    <w:t>盐城市大丰经济</w:t>
                  </w:r>
                  <w:r>
                    <w:rPr>
                      <w:rFonts w:ascii="Times New Roman" w:hAnsi="Times New Roman" w:eastAsia="宋体" w:cs="Times New Roman"/>
                      <w:kern w:val="0"/>
                      <w:szCs w:val="21"/>
                    </w:rPr>
                    <w:t>开发区污水处理厂，处理后最终排入老斗龙港河</w:t>
                  </w:r>
                  <w:r>
                    <w:rPr>
                      <w:rFonts w:hint="eastAsia" w:ascii="Times New Roman" w:hAnsi="Times New Roman" w:eastAsia="宋体" w:cs="Times New Roman"/>
                      <w:kern w:val="0"/>
                      <w:szCs w:val="21"/>
                    </w:rPr>
                    <w:t>。废水接管满足《污水综合排放标准》（</w:t>
                  </w:r>
                  <w:r>
                    <w:rPr>
                      <w:rFonts w:ascii="Times New Roman" w:hAnsi="Times New Roman" w:eastAsia="宋体" w:cs="Times New Roman"/>
                      <w:kern w:val="0"/>
                      <w:szCs w:val="21"/>
                    </w:rPr>
                    <w:t>GB8978-1996）中三级标准和《污水排入城镇下水道水质标准》（GB/T31962-2015）中B级标准</w:t>
                  </w:r>
                  <w:r>
                    <w:rPr>
                      <w:rFonts w:hint="eastAsia" w:ascii="Times New Roman" w:hAnsi="Times New Roman" w:eastAsia="宋体" w:cs="Times New Roman"/>
                      <w:kern w:val="0"/>
                      <w:szCs w:val="21"/>
                    </w:rPr>
                    <w:t>及污水厂接管标准；污水厂</w:t>
                  </w:r>
                  <w:r>
                    <w:rPr>
                      <w:rFonts w:ascii="Times New Roman" w:hAnsi="Times New Roman" w:eastAsia="宋体" w:cs="Times New Roman"/>
                      <w:kern w:val="0"/>
                      <w:szCs w:val="21"/>
                    </w:rPr>
                    <w:t>尾水达《城镇污水处理厂污染物排放标准》（GB18918-2002）中一级A标准。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349" w:type="pct"/>
                  <w:gridSpan w:val="2"/>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监测因子</w:t>
                  </w:r>
                </w:p>
              </w:tc>
              <w:tc>
                <w:tcPr>
                  <w:tcW w:w="870"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接管标准（mg/L）</w:t>
                  </w:r>
                </w:p>
              </w:tc>
              <w:tc>
                <w:tcPr>
                  <w:tcW w:w="1092"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污水厂排放标准（mg/L）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349" w:type="pct"/>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pH</w:t>
                  </w:r>
                </w:p>
              </w:tc>
              <w:tc>
                <w:tcPr>
                  <w:tcW w:w="870"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6~9</w:t>
                  </w:r>
                </w:p>
              </w:tc>
              <w:tc>
                <w:tcPr>
                  <w:tcW w:w="109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6~9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349" w:type="pct"/>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COD</w:t>
                  </w:r>
                </w:p>
              </w:tc>
              <w:tc>
                <w:tcPr>
                  <w:tcW w:w="870"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500</w:t>
                  </w:r>
                </w:p>
              </w:tc>
              <w:tc>
                <w:tcPr>
                  <w:tcW w:w="109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50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349" w:type="pct"/>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SS</w:t>
                  </w:r>
                </w:p>
              </w:tc>
              <w:tc>
                <w:tcPr>
                  <w:tcW w:w="870"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szCs w:val="21"/>
                    </w:rPr>
                    <w:t>400</w:t>
                  </w:r>
                </w:p>
              </w:tc>
              <w:tc>
                <w:tcPr>
                  <w:tcW w:w="109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szCs w:val="21"/>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349" w:type="pct"/>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氨氮</w:t>
                  </w:r>
                </w:p>
              </w:tc>
              <w:tc>
                <w:tcPr>
                  <w:tcW w:w="870"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szCs w:val="21"/>
                    </w:rPr>
                    <w:t>45</w:t>
                  </w:r>
                </w:p>
              </w:tc>
              <w:tc>
                <w:tcPr>
                  <w:tcW w:w="109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349" w:type="pct"/>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总磷(以P计)</w:t>
                  </w:r>
                </w:p>
              </w:tc>
              <w:tc>
                <w:tcPr>
                  <w:tcW w:w="870"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8</w:t>
                  </w:r>
                </w:p>
              </w:tc>
              <w:tc>
                <w:tcPr>
                  <w:tcW w:w="109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349" w:type="pct"/>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锌</w:t>
                  </w:r>
                </w:p>
              </w:tc>
              <w:tc>
                <w:tcPr>
                  <w:tcW w:w="870"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5</w:t>
                  </w:r>
                </w:p>
              </w:tc>
              <w:tc>
                <w:tcPr>
                  <w:tcW w:w="109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349" w:type="pct"/>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LAS</w:t>
                  </w:r>
                </w:p>
              </w:tc>
              <w:tc>
                <w:tcPr>
                  <w:tcW w:w="870"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20</w:t>
                  </w:r>
                </w:p>
              </w:tc>
              <w:tc>
                <w:tcPr>
                  <w:tcW w:w="109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0.5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349" w:type="pct"/>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石油类</w:t>
                  </w:r>
                </w:p>
              </w:tc>
              <w:tc>
                <w:tcPr>
                  <w:tcW w:w="870"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20</w:t>
                  </w:r>
                </w:p>
              </w:tc>
              <w:tc>
                <w:tcPr>
                  <w:tcW w:w="109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color w:val="000000"/>
                      <w:kern w:val="0"/>
                      <w:szCs w:val="21"/>
                    </w:rPr>
                    <w:t>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项目</w:t>
                  </w:r>
                </w:p>
              </w:tc>
              <w:tc>
                <w:tcPr>
                  <w:tcW w:w="3311" w:type="pct"/>
                  <w:gridSpan w:val="4"/>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实际执行标准限值</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1349" w:type="pct"/>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标准值（dB（A））</w:t>
                  </w:r>
                </w:p>
              </w:tc>
              <w:tc>
                <w:tcPr>
                  <w:tcW w:w="1962" w:type="pct"/>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执行标准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749"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600"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1962" w:type="pct"/>
                  <w:gridSpan w:val="2"/>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《工业企业厂界环境噪声排放标准》（GB12348-2008）中的3类</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689" w:type="pct"/>
                  <w:gridSpan w:val="3"/>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749"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65</w:t>
                  </w:r>
                </w:p>
              </w:tc>
              <w:tc>
                <w:tcPr>
                  <w:tcW w:w="600"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55</w:t>
                  </w:r>
                </w:p>
              </w:tc>
              <w:tc>
                <w:tcPr>
                  <w:tcW w:w="1962" w:type="pct"/>
                  <w:gridSpan w:val="2"/>
                  <w:vMerge w:val="continue"/>
                  <w:shd w:val="clear" w:color="auto" w:fill="FFFFFF" w:themeFill="background1"/>
                  <w:vAlign w:val="center"/>
                </w:tcPr>
                <w:p>
                  <w:pPr>
                    <w:jc w:val="center"/>
                    <w:rPr>
                      <w:rFonts w:ascii="Times New Roman" w:hAnsi="Times New Roman" w:eastAsia="宋体" w:cs="Times New Roman"/>
                      <w:kern w:val="0"/>
                      <w:szCs w:val="21"/>
                    </w:rPr>
                  </w:pPr>
                </w:p>
              </w:tc>
            </w:tr>
          </w:tbl>
          <w:p>
            <w:pPr>
              <w:tabs>
                <w:tab w:val="left" w:pos="721"/>
                <w:tab w:val="center" w:pos="3436"/>
              </w:tabs>
              <w:adjustRightInd w:val="0"/>
              <w:snapToGrid w:val="0"/>
              <w:jc w:val="center"/>
              <w:rPr>
                <w:rFonts w:ascii="Times New Roman" w:hAnsi="Times New Roman" w:eastAsia="宋体" w:cs="Times New Roman"/>
                <w:b/>
                <w:color w:val="000000"/>
                <w:szCs w:val="21"/>
              </w:rPr>
            </w:pPr>
          </w:p>
        </w:tc>
      </w:tr>
    </w:tbl>
    <w:p>
      <w:pPr>
        <w:rPr>
          <w:rFonts w:ascii="Times New Roman" w:hAnsi="Times New Roman" w:eastAsia="宋体" w:cs="Times New Roman"/>
          <w:color w:val="000000" w:themeColor="text1"/>
          <w:sz w:val="28"/>
          <w:szCs w:val="28"/>
          <w14:textFill>
            <w14:solidFill>
              <w14:schemeClr w14:val="tx1"/>
            </w14:solidFill>
          </w14:textFill>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pPr>
        <w:outlineLvl w:val="0"/>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表二 工程建设情况</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14" w:type="dxa"/>
            <w:vAlign w:val="center"/>
          </w:tcPr>
          <w:p>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一、工程建设内容：</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1.1</w:t>
            </w:r>
            <w:r>
              <w:rPr>
                <w:rFonts w:hint="eastAsia" w:ascii="Times New Roman" w:hAnsi="Times New Roman" w:eastAsia="宋体" w:cs="Times New Roman"/>
                <w:b/>
                <w:bCs/>
                <w:sz w:val="24"/>
              </w:rPr>
              <w:t>、</w:t>
            </w:r>
            <w:r>
              <w:rPr>
                <w:rFonts w:ascii="Times New Roman" w:hAnsi="Times New Roman" w:eastAsia="宋体" w:cs="Times New Roman"/>
                <w:b/>
                <w:bCs/>
                <w:sz w:val="24"/>
              </w:rPr>
              <w:t>主要建设内容</w:t>
            </w:r>
          </w:p>
          <w:p>
            <w:pPr>
              <w:spacing w:line="360" w:lineRule="auto"/>
              <w:ind w:firstLine="480" w:firstLineChars="200"/>
              <w:rPr>
                <w:rFonts w:ascii="Times New Roman" w:hAnsi="Times New Roman" w:eastAsia="宋体" w:cs="Times New Roman"/>
                <w:sz w:val="24"/>
                <w:highlight w:val="yellow"/>
              </w:rPr>
            </w:pPr>
            <w:r>
              <w:rPr>
                <w:rFonts w:hint="eastAsia" w:ascii="Times New Roman" w:hAnsi="Times New Roman" w:eastAsia="宋体" w:cs="Times New Roman"/>
                <w:sz w:val="24"/>
                <w:highlight w:val="yellow"/>
              </w:rPr>
              <w:t>2</w:t>
            </w:r>
            <w:r>
              <w:rPr>
                <w:rFonts w:ascii="Times New Roman" w:hAnsi="Times New Roman" w:eastAsia="宋体" w:cs="Times New Roman"/>
                <w:sz w:val="24"/>
                <w:highlight w:val="yellow"/>
              </w:rPr>
              <w:t>003</w:t>
            </w:r>
            <w:r>
              <w:rPr>
                <w:rFonts w:hint="eastAsia" w:ascii="Times New Roman" w:hAnsi="Times New Roman" w:eastAsia="宋体" w:cs="Times New Roman"/>
                <w:sz w:val="24"/>
                <w:highlight w:val="yellow"/>
              </w:rPr>
              <w:t>年在厂区内建设完成两栋标准厂房（1#生产车间和2#生产车间）及附属用房，已建的</w:t>
            </w:r>
            <w:r>
              <w:rPr>
                <w:rFonts w:ascii="Times New Roman" w:hAnsi="Times New Roman" w:eastAsia="宋体" w:cs="Times New Roman"/>
                <w:sz w:val="24"/>
                <w:highlight w:val="yellow"/>
              </w:rPr>
              <w:t>1</w:t>
            </w:r>
            <w:r>
              <w:rPr>
                <w:rFonts w:hint="eastAsia" w:ascii="Times New Roman" w:hAnsi="Times New Roman" w:eastAsia="宋体" w:cs="Times New Roman"/>
                <w:sz w:val="24"/>
                <w:highlight w:val="yellow"/>
              </w:rPr>
              <w:t>#生产车间、</w:t>
            </w:r>
            <w:r>
              <w:rPr>
                <w:rFonts w:ascii="Times New Roman" w:hAnsi="Times New Roman" w:eastAsia="宋体" w:cs="Times New Roman"/>
                <w:sz w:val="24"/>
                <w:highlight w:val="yellow"/>
              </w:rPr>
              <w:t>2</w:t>
            </w:r>
            <w:r>
              <w:rPr>
                <w:rFonts w:hint="eastAsia" w:ascii="Times New Roman" w:hAnsi="Times New Roman" w:eastAsia="宋体" w:cs="Times New Roman"/>
                <w:sz w:val="24"/>
                <w:highlight w:val="yellow"/>
              </w:rPr>
              <w:t>#生产车间及附属用房目前租赁于其他公司进行生产作业。</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highlight w:val="yellow"/>
              </w:rPr>
              <w:t>现根据公司发展需要，投资</w:t>
            </w:r>
            <w:r>
              <w:rPr>
                <w:rFonts w:ascii="Times New Roman" w:hAnsi="Times New Roman" w:eastAsia="宋体" w:cs="Times New Roman"/>
                <w:sz w:val="24"/>
                <w:highlight w:val="yellow"/>
              </w:rPr>
              <w:t>3000万元</w:t>
            </w:r>
            <w:r>
              <w:rPr>
                <w:rFonts w:hint="eastAsia" w:ascii="Times New Roman" w:hAnsi="Times New Roman" w:eastAsia="宋体" w:cs="Times New Roman"/>
                <w:sz w:val="24"/>
                <w:highlight w:val="yellow"/>
              </w:rPr>
              <w:t>在现有厂区内（</w:t>
            </w:r>
            <w:r>
              <w:rPr>
                <w:rFonts w:ascii="Times New Roman" w:hAnsi="Times New Roman" w:eastAsia="宋体" w:cs="Times New Roman"/>
                <w:sz w:val="24"/>
                <w:highlight w:val="yellow"/>
              </w:rPr>
              <w:t>盐城市大丰区经济开发区南翔西路65号</w:t>
            </w:r>
            <w:r>
              <w:rPr>
                <w:rFonts w:hint="eastAsia" w:ascii="Times New Roman" w:hAnsi="Times New Roman" w:eastAsia="宋体" w:cs="Times New Roman"/>
                <w:sz w:val="24"/>
                <w:highlight w:val="yellow"/>
              </w:rPr>
              <w:t>）新建3#、4#生产车间。其中3#生产车间建成后空置备用，4#生产车间建成后作为本次生产</w:t>
            </w:r>
            <w:r>
              <w:rPr>
                <w:rFonts w:ascii="Times New Roman" w:hAnsi="Times New Roman" w:eastAsia="宋体" w:cs="Times New Roman"/>
                <w:sz w:val="24"/>
                <w:highlight w:val="yellow"/>
              </w:rPr>
              <w:t>冷锻产品和模具加工项目</w:t>
            </w:r>
            <w:r>
              <w:rPr>
                <w:rFonts w:hint="eastAsia" w:ascii="Times New Roman" w:hAnsi="Times New Roman" w:eastAsia="宋体" w:cs="Times New Roman"/>
                <w:sz w:val="24"/>
                <w:highlight w:val="yellow"/>
              </w:rPr>
              <w:t>的生产用地，建筑面积为</w:t>
            </w:r>
            <w:r>
              <w:rPr>
                <w:rFonts w:ascii="Times New Roman" w:hAnsi="Times New Roman" w:eastAsia="宋体" w:cs="Times New Roman"/>
                <w:sz w:val="24"/>
                <w:highlight w:val="yellow"/>
              </w:rPr>
              <w:t>5882m</w:t>
            </w:r>
            <w:r>
              <w:rPr>
                <w:rFonts w:ascii="Times New Roman" w:hAnsi="Times New Roman" w:eastAsia="宋体" w:cs="Times New Roman"/>
                <w:sz w:val="24"/>
                <w:highlight w:val="yellow"/>
                <w:vertAlign w:val="superscript"/>
              </w:rPr>
              <w:t>2</w:t>
            </w:r>
            <w:r>
              <w:rPr>
                <w:rFonts w:hint="eastAsia" w:ascii="Times New Roman" w:hAnsi="Times New Roman" w:eastAsia="宋体" w:cs="Times New Roman"/>
                <w:sz w:val="24"/>
                <w:highlight w:val="yellow"/>
              </w:rPr>
              <w:t>，</w:t>
            </w:r>
            <w:r>
              <w:rPr>
                <w:rFonts w:ascii="Times New Roman" w:hAnsi="Times New Roman" w:eastAsia="宋体" w:cs="Times New Roman"/>
                <w:sz w:val="24"/>
                <w:highlight w:val="yellow"/>
              </w:rPr>
              <w:t>建设后产能为3000吨模具材料</w:t>
            </w:r>
            <w:r>
              <w:rPr>
                <w:rFonts w:hint="eastAsia" w:ascii="Times New Roman" w:hAnsi="Times New Roman" w:eastAsia="宋体" w:cs="Times New Roman"/>
                <w:sz w:val="24"/>
                <w:highlight w:val="yellow"/>
              </w:rPr>
              <w:t>（约9</w:t>
            </w:r>
            <w:r>
              <w:rPr>
                <w:rFonts w:ascii="Times New Roman" w:hAnsi="Times New Roman" w:eastAsia="宋体" w:cs="Times New Roman"/>
                <w:sz w:val="24"/>
                <w:highlight w:val="yellow"/>
              </w:rPr>
              <w:t>20</w:t>
            </w:r>
            <w:r>
              <w:rPr>
                <w:rFonts w:hint="eastAsia" w:ascii="Times New Roman" w:hAnsi="Times New Roman" w:eastAsia="宋体" w:cs="Times New Roman"/>
                <w:sz w:val="24"/>
                <w:highlight w:val="yellow"/>
              </w:rPr>
              <w:t>万件模具材料）</w:t>
            </w:r>
            <w:r>
              <w:rPr>
                <w:rFonts w:ascii="Times New Roman" w:hAnsi="Times New Roman" w:eastAsia="宋体" w:cs="Times New Roman"/>
                <w:sz w:val="24"/>
                <w:highlight w:val="yellow"/>
              </w:rPr>
              <w:t>。</w:t>
            </w:r>
          </w:p>
          <w:p>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sz w:val="24"/>
              </w:rPr>
              <w:t>江苏乐开机电有限公司冷锻产品和模具加工建设项目位于盐城市大丰区经济开发区南翔西路65号，其经纬度为E</w:t>
            </w:r>
            <w:r>
              <w:rPr>
                <w:rFonts w:ascii="Times New Roman" w:hAnsi="Times New Roman" w:eastAsia="宋体" w:cs="Times New Roman"/>
                <w:bCs/>
                <w:sz w:val="24"/>
              </w:rPr>
              <w:t>120.3897</w:t>
            </w:r>
            <w:r>
              <w:rPr>
                <w:rFonts w:ascii="Times New Roman" w:hAnsi="Times New Roman" w:eastAsia="宋体" w:cs="Times New Roman"/>
                <w:sz w:val="24"/>
              </w:rPr>
              <w:t>°，N</w:t>
            </w:r>
            <w:r>
              <w:rPr>
                <w:rFonts w:ascii="Times New Roman" w:hAnsi="Times New Roman" w:eastAsia="宋体" w:cs="Times New Roman"/>
                <w:bCs/>
                <w:sz w:val="24"/>
              </w:rPr>
              <w:t>33.1792</w:t>
            </w:r>
            <w:r>
              <w:rPr>
                <w:rFonts w:ascii="Times New Roman" w:hAnsi="Times New Roman" w:eastAsia="宋体" w:cs="Times New Roman"/>
                <w:sz w:val="24"/>
              </w:rPr>
              <w:t>°。项目</w:t>
            </w:r>
            <w:r>
              <w:rPr>
                <w:rFonts w:ascii="Times New Roman" w:hAnsi="Times New Roman" w:eastAsia="宋体" w:cs="Times New Roman"/>
                <w:bCs/>
                <w:color w:val="000000"/>
                <w:sz w:val="24"/>
              </w:rPr>
              <w:t>项目东侧为足球训练基地；南侧为</w:t>
            </w:r>
            <w:r>
              <w:rPr>
                <w:rFonts w:ascii="Times New Roman" w:hAnsi="Times New Roman" w:eastAsia="宋体" w:cs="Times New Roman"/>
                <w:bCs/>
                <w:sz w:val="24"/>
              </w:rPr>
              <w:t>南翔西路；西侧为锦丰路；北侧</w:t>
            </w:r>
            <w:r>
              <w:rPr>
                <w:rFonts w:ascii="Times New Roman" w:hAnsi="Times New Roman" w:eastAsia="宋体" w:cs="Times New Roman"/>
                <w:bCs/>
                <w:color w:val="000000"/>
                <w:sz w:val="24"/>
              </w:rPr>
              <w:t>为大丰优美居家纺有限公司。</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项目地理位置图见图2-1</w:t>
            </w:r>
            <w:r>
              <w:rPr>
                <w:rFonts w:hint="eastAsia" w:ascii="Times New Roman" w:hAnsi="Times New Roman" w:eastAsia="宋体" w:cs="Times New Roman"/>
                <w:sz w:val="24"/>
              </w:rPr>
              <w:t>，项目周边</w:t>
            </w:r>
            <w:r>
              <w:rPr>
                <w:rFonts w:ascii="Times New Roman" w:hAnsi="Times New Roman" w:eastAsia="宋体" w:cs="Times New Roman"/>
                <w:sz w:val="24"/>
              </w:rPr>
              <w:t>500米环境概况图图2-2。</w:t>
            </w:r>
            <w:r>
              <w:rPr>
                <w:rFonts w:hint="eastAsia" w:ascii="Times New Roman" w:hAnsi="Times New Roman" w:eastAsia="宋体" w:cs="Times New Roman"/>
                <w:sz w:val="24"/>
              </w:rPr>
              <w:t>项目厂区平面布置图见图2-</w:t>
            </w:r>
            <w:r>
              <w:rPr>
                <w:rFonts w:ascii="Times New Roman" w:hAnsi="Times New Roman" w:eastAsia="宋体" w:cs="Times New Roman"/>
                <w:sz w:val="24"/>
              </w:rPr>
              <w:t>3</w:t>
            </w:r>
            <w:r>
              <w:rPr>
                <w:rFonts w:hint="eastAsia" w:ascii="Times New Roman" w:hAnsi="Times New Roman" w:eastAsia="宋体" w:cs="Times New Roman"/>
                <w:sz w:val="24"/>
              </w:rPr>
              <w:t>。</w:t>
            </w:r>
          </w:p>
          <w:p>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4465955" cy="61334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466040" cy="6133473"/>
                          </a:xfrm>
                          <a:prstGeom prst="rect">
                            <a:avLst/>
                          </a:prstGeom>
                        </pic:spPr>
                      </pic:pic>
                    </a:graphicData>
                  </a:graphic>
                </wp:inline>
              </w:drawing>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图2-1  项目地理位置图</w:t>
            </w:r>
          </w:p>
          <w:p>
            <w:pPr>
              <w:jc w:val="center"/>
              <w:rPr>
                <w:rFonts w:ascii="Times New Roman" w:hAnsi="Times New Roman" w:eastAsia="宋体" w:cs="Times New Roman"/>
                <w:b/>
                <w:bCs/>
                <w:szCs w:val="21"/>
              </w:rPr>
            </w:pPr>
            <w:r>
              <w:rPr>
                <w:rFonts w:ascii="Times New Roman" w:hAnsi="Times New Roman" w:eastAsia="宋体" w:cs="Times New Roman"/>
                <w:szCs w:val="21"/>
              </w:rPr>
              <w:drawing>
                <wp:inline distT="0" distB="0" distL="0" distR="0">
                  <wp:extent cx="5039995" cy="3239770"/>
                  <wp:effectExtent l="0" t="0" r="8255" b="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5040000" cy="3240000"/>
                          </a:xfrm>
                          <a:prstGeom prst="rect">
                            <a:avLst/>
                          </a:prstGeom>
                        </pic:spPr>
                      </pic:pic>
                    </a:graphicData>
                  </a:graphic>
                </wp:inline>
              </w:drawing>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图2-2  项目</w:t>
            </w:r>
            <w:r>
              <w:rPr>
                <w:rFonts w:hint="eastAsia" w:ascii="Times New Roman" w:hAnsi="Times New Roman" w:eastAsia="宋体" w:cs="Times New Roman"/>
                <w:b/>
                <w:bCs/>
                <w:sz w:val="24"/>
              </w:rPr>
              <w:t>5</w:t>
            </w:r>
            <w:r>
              <w:rPr>
                <w:rFonts w:ascii="Times New Roman" w:hAnsi="Times New Roman" w:eastAsia="宋体" w:cs="Times New Roman"/>
                <w:b/>
                <w:bCs/>
                <w:sz w:val="24"/>
              </w:rPr>
              <w:t>00</w:t>
            </w:r>
            <w:r>
              <w:rPr>
                <w:rFonts w:hint="eastAsia" w:ascii="Times New Roman" w:hAnsi="Times New Roman" w:eastAsia="宋体" w:cs="Times New Roman"/>
                <w:b/>
                <w:bCs/>
                <w:sz w:val="24"/>
              </w:rPr>
              <w:t>米范围</w:t>
            </w:r>
            <w:r>
              <w:rPr>
                <w:rFonts w:ascii="Times New Roman" w:hAnsi="Times New Roman" w:eastAsia="宋体" w:cs="Times New Roman"/>
                <w:b/>
                <w:bCs/>
                <w:sz w:val="24"/>
              </w:rPr>
              <w:t>周边环境概况图</w:t>
            </w:r>
          </w:p>
          <w:p>
            <w:pPr>
              <w:spacing w:line="360" w:lineRule="auto"/>
              <w:ind w:firstLine="482" w:firstLineChars="200"/>
              <w:jc w:val="left"/>
              <w:rPr>
                <w:rFonts w:ascii="Times New Roman" w:hAnsi="Times New Roman" w:eastAsia="宋体" w:cs="Times New Roman"/>
                <w:b/>
                <w:bCs/>
                <w:sz w:val="24"/>
                <w:highlight w:val="yellow"/>
              </w:rPr>
            </w:pPr>
            <w:r>
              <w:rPr>
                <w:rFonts w:hint="eastAsia" w:ascii="Times New Roman" w:hAnsi="Times New Roman" w:eastAsia="宋体" w:cs="Times New Roman"/>
                <w:b/>
                <w:bCs/>
                <w:sz w:val="24"/>
                <w:highlight w:val="yellow"/>
              </w:rPr>
              <w:t>本项目周边敏感目标如下表所示</w:t>
            </w:r>
          </w:p>
          <w:p>
            <w:pPr>
              <w:spacing w:line="360" w:lineRule="auto"/>
              <w:ind w:firstLine="482" w:firstLineChars="200"/>
              <w:jc w:val="center"/>
              <w:rPr>
                <w:rFonts w:ascii="Times New Roman" w:hAnsi="Times New Roman" w:eastAsia="宋体" w:cs="Times New Roman"/>
                <w:b/>
                <w:bCs/>
                <w:sz w:val="24"/>
                <w:highlight w:val="yellow"/>
              </w:rPr>
            </w:pPr>
            <w:r>
              <w:rPr>
                <w:rFonts w:hint="eastAsia" w:ascii="Times New Roman" w:hAnsi="Times New Roman" w:eastAsia="宋体" w:cs="Times New Roman"/>
                <w:b/>
                <w:bCs/>
                <w:sz w:val="24"/>
                <w:highlight w:val="yellow"/>
              </w:rPr>
              <w:t>表2</w:t>
            </w:r>
            <w:r>
              <w:rPr>
                <w:rFonts w:ascii="Times New Roman" w:hAnsi="Times New Roman" w:eastAsia="宋体" w:cs="Times New Roman"/>
                <w:b/>
                <w:bCs/>
                <w:sz w:val="24"/>
                <w:highlight w:val="yellow"/>
              </w:rPr>
              <w:t xml:space="preserve">.1  </w:t>
            </w:r>
            <w:r>
              <w:rPr>
                <w:rFonts w:hint="eastAsia" w:ascii="Times New Roman" w:hAnsi="Times New Roman" w:eastAsia="宋体" w:cs="Times New Roman"/>
                <w:b/>
                <w:bCs/>
                <w:sz w:val="24"/>
                <w:highlight w:val="yellow"/>
              </w:rPr>
              <w:t>周边环境敏感目标</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1738"/>
              <w:gridCol w:w="2320"/>
              <w:gridCol w:w="3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59" w:type="pct"/>
                  <w:vMerge w:val="restart"/>
                  <w:vAlign w:val="center"/>
                </w:tcPr>
                <w:p>
                  <w:pPr>
                    <w:jc w:val="center"/>
                    <w:rPr>
                      <w:rFonts w:ascii="Times New Roman" w:hAnsi="Times New Roman" w:eastAsia="宋体" w:cs="Times New Roman"/>
                      <w:b/>
                      <w:bCs/>
                      <w:color w:val="000000"/>
                      <w:szCs w:val="21"/>
                      <w:highlight w:val="yellow"/>
                    </w:rPr>
                  </w:pPr>
                  <w:r>
                    <w:rPr>
                      <w:rFonts w:ascii="Times New Roman" w:hAnsi="Times New Roman" w:eastAsia="宋体" w:cs="Times New Roman"/>
                      <w:b/>
                      <w:bCs/>
                      <w:color w:val="000000"/>
                      <w:szCs w:val="21"/>
                      <w:highlight w:val="yellow"/>
                    </w:rPr>
                    <w:t>保护目标</w:t>
                  </w:r>
                </w:p>
              </w:tc>
              <w:tc>
                <w:tcPr>
                  <w:tcW w:w="982" w:type="pct"/>
                  <w:vMerge w:val="restart"/>
                  <w:vAlign w:val="center"/>
                </w:tcPr>
                <w:p>
                  <w:pPr>
                    <w:jc w:val="center"/>
                    <w:rPr>
                      <w:rFonts w:ascii="Times New Roman" w:hAnsi="Times New Roman" w:eastAsia="宋体" w:cs="Times New Roman"/>
                      <w:b/>
                      <w:bCs/>
                      <w:color w:val="000000"/>
                      <w:szCs w:val="21"/>
                      <w:highlight w:val="yellow"/>
                    </w:rPr>
                  </w:pPr>
                  <w:r>
                    <w:rPr>
                      <w:rFonts w:ascii="Times New Roman" w:hAnsi="Times New Roman" w:eastAsia="宋体" w:cs="Times New Roman"/>
                      <w:b/>
                      <w:bCs/>
                      <w:color w:val="000000"/>
                      <w:szCs w:val="21"/>
                      <w:highlight w:val="yellow"/>
                    </w:rPr>
                    <w:t>距项目厂界距离（m）</w:t>
                  </w:r>
                </w:p>
              </w:tc>
              <w:tc>
                <w:tcPr>
                  <w:tcW w:w="1311" w:type="pct"/>
                  <w:vMerge w:val="restart"/>
                  <w:vAlign w:val="center"/>
                </w:tcPr>
                <w:p>
                  <w:pPr>
                    <w:jc w:val="center"/>
                    <w:rPr>
                      <w:rFonts w:ascii="Times New Roman" w:hAnsi="Times New Roman" w:eastAsia="宋体" w:cs="Times New Roman"/>
                      <w:b/>
                      <w:bCs/>
                      <w:color w:val="000000"/>
                      <w:szCs w:val="21"/>
                      <w:highlight w:val="yellow"/>
                    </w:rPr>
                  </w:pPr>
                  <w:r>
                    <w:rPr>
                      <w:rFonts w:ascii="Times New Roman" w:hAnsi="Times New Roman" w:eastAsia="宋体" w:cs="Times New Roman"/>
                      <w:b/>
                      <w:bCs/>
                      <w:color w:val="000000"/>
                      <w:szCs w:val="21"/>
                      <w:highlight w:val="yellow"/>
                    </w:rPr>
                    <w:t>规模情况</w:t>
                  </w:r>
                </w:p>
              </w:tc>
              <w:tc>
                <w:tcPr>
                  <w:tcW w:w="1748" w:type="pct"/>
                  <w:vMerge w:val="restart"/>
                  <w:vAlign w:val="center"/>
                </w:tcPr>
                <w:p>
                  <w:pPr>
                    <w:jc w:val="center"/>
                    <w:rPr>
                      <w:rFonts w:ascii="Times New Roman" w:hAnsi="Times New Roman" w:eastAsia="宋体" w:cs="Times New Roman"/>
                      <w:b/>
                      <w:bCs/>
                      <w:color w:val="000000"/>
                      <w:szCs w:val="21"/>
                      <w:highlight w:val="yellow"/>
                    </w:rPr>
                  </w:pPr>
                  <w:r>
                    <w:rPr>
                      <w:rFonts w:ascii="Times New Roman" w:hAnsi="Times New Roman" w:eastAsia="宋体" w:cs="Times New Roman"/>
                      <w:b/>
                      <w:bCs/>
                      <w:color w:val="000000"/>
                      <w:szCs w:val="21"/>
                      <w:highlight w:val="yellow"/>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959" w:type="pct"/>
                  <w:vMerge w:val="continue"/>
                  <w:vAlign w:val="center"/>
                </w:tcPr>
                <w:p>
                  <w:pPr>
                    <w:jc w:val="center"/>
                    <w:rPr>
                      <w:rFonts w:ascii="Times New Roman" w:hAnsi="Times New Roman" w:eastAsia="宋体" w:cs="Times New Roman"/>
                      <w:b/>
                      <w:bCs/>
                      <w:color w:val="000000"/>
                      <w:szCs w:val="21"/>
                      <w:highlight w:val="yellow"/>
                    </w:rPr>
                  </w:pPr>
                </w:p>
              </w:tc>
              <w:tc>
                <w:tcPr>
                  <w:tcW w:w="982" w:type="pct"/>
                  <w:vMerge w:val="continue"/>
                  <w:vAlign w:val="center"/>
                </w:tcPr>
                <w:p>
                  <w:pPr>
                    <w:jc w:val="center"/>
                    <w:rPr>
                      <w:rFonts w:ascii="Times New Roman" w:hAnsi="Times New Roman" w:eastAsia="宋体" w:cs="Times New Roman"/>
                      <w:b/>
                      <w:bCs/>
                      <w:color w:val="000000"/>
                      <w:szCs w:val="21"/>
                      <w:highlight w:val="yellow"/>
                    </w:rPr>
                  </w:pPr>
                </w:p>
              </w:tc>
              <w:tc>
                <w:tcPr>
                  <w:tcW w:w="1311" w:type="pct"/>
                  <w:vMerge w:val="continue"/>
                  <w:vAlign w:val="center"/>
                </w:tcPr>
                <w:p>
                  <w:pPr>
                    <w:jc w:val="center"/>
                    <w:rPr>
                      <w:rFonts w:ascii="Times New Roman" w:hAnsi="Times New Roman" w:eastAsia="宋体" w:cs="Times New Roman"/>
                      <w:b/>
                      <w:bCs/>
                      <w:color w:val="000000"/>
                      <w:szCs w:val="21"/>
                      <w:highlight w:val="yellow"/>
                    </w:rPr>
                  </w:pPr>
                </w:p>
              </w:tc>
              <w:tc>
                <w:tcPr>
                  <w:tcW w:w="1748" w:type="pct"/>
                  <w:vMerge w:val="continue"/>
                  <w:vAlign w:val="center"/>
                </w:tcPr>
                <w:p>
                  <w:pPr>
                    <w:jc w:val="center"/>
                    <w:rPr>
                      <w:rFonts w:ascii="Times New Roman" w:hAnsi="Times New Roman" w:eastAsia="宋体" w:cs="Times New Roman"/>
                      <w:b/>
                      <w:bCs/>
                      <w:color w:val="000000"/>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959" w:type="pct"/>
                  <w:vAlign w:val="center"/>
                </w:tcPr>
                <w:p>
                  <w:pPr>
                    <w:jc w:val="center"/>
                    <w:rPr>
                      <w:rFonts w:ascii="Times New Roman" w:hAnsi="Times New Roman" w:eastAsia="宋体" w:cs="Times New Roman"/>
                      <w:bCs/>
                      <w:color w:val="000000"/>
                      <w:szCs w:val="21"/>
                      <w:highlight w:val="yellow"/>
                    </w:rPr>
                  </w:pPr>
                  <w:r>
                    <w:rPr>
                      <w:rFonts w:ascii="Times New Roman" w:hAnsi="Times New Roman" w:eastAsia="宋体" w:cs="Times New Roman"/>
                      <w:bCs/>
                      <w:color w:val="000000"/>
                      <w:szCs w:val="21"/>
                      <w:highlight w:val="yellow"/>
                    </w:rPr>
                    <w:t>大丰华东国际会议中心</w:t>
                  </w:r>
                </w:p>
              </w:tc>
              <w:tc>
                <w:tcPr>
                  <w:tcW w:w="982" w:type="pct"/>
                  <w:vAlign w:val="center"/>
                </w:tcPr>
                <w:p>
                  <w:pPr>
                    <w:jc w:val="center"/>
                    <w:rPr>
                      <w:rFonts w:ascii="Times New Roman" w:hAnsi="Times New Roman" w:eastAsia="宋体" w:cs="Times New Roman"/>
                      <w:bCs/>
                      <w:color w:val="000000"/>
                      <w:szCs w:val="21"/>
                      <w:highlight w:val="yellow"/>
                    </w:rPr>
                  </w:pPr>
                  <w:r>
                    <w:rPr>
                      <w:rFonts w:ascii="Times New Roman" w:hAnsi="Times New Roman" w:eastAsia="宋体" w:cs="Times New Roman"/>
                      <w:bCs/>
                      <w:color w:val="000000"/>
                      <w:szCs w:val="21"/>
                      <w:highlight w:val="yellow"/>
                    </w:rPr>
                    <w:t>200m</w:t>
                  </w:r>
                </w:p>
              </w:tc>
              <w:tc>
                <w:tcPr>
                  <w:tcW w:w="1311" w:type="pct"/>
                  <w:vAlign w:val="center"/>
                </w:tcPr>
                <w:p>
                  <w:pPr>
                    <w:jc w:val="center"/>
                    <w:rPr>
                      <w:rFonts w:ascii="Times New Roman" w:hAnsi="Times New Roman" w:eastAsia="宋体" w:cs="Times New Roman"/>
                      <w:bCs/>
                      <w:color w:val="000000"/>
                      <w:szCs w:val="21"/>
                      <w:highlight w:val="yellow"/>
                    </w:rPr>
                  </w:pPr>
                  <w:r>
                    <w:rPr>
                      <w:rFonts w:ascii="Times New Roman" w:hAnsi="Times New Roman" w:eastAsia="宋体" w:cs="Times New Roman"/>
                      <w:bCs/>
                      <w:color w:val="000000"/>
                      <w:szCs w:val="21"/>
                      <w:highlight w:val="yellow"/>
                    </w:rPr>
                    <w:t>约500人</w:t>
                  </w:r>
                </w:p>
              </w:tc>
              <w:tc>
                <w:tcPr>
                  <w:tcW w:w="1748"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highlight w:val="yellow"/>
                    </w:rPr>
                    <w:t>《环境空气质量标准》（GB3095-2012）中的二级标准</w:t>
                  </w:r>
                </w:p>
              </w:tc>
            </w:tr>
          </w:tbl>
          <w:p>
            <w:pPr>
              <w:spacing w:line="360" w:lineRule="auto"/>
              <w:jc w:val="center"/>
              <w:rPr>
                <w:rFonts w:ascii="Times New Roman" w:hAnsi="Times New Roman" w:eastAsia="宋体" w:cs="Times New Roman"/>
                <w:b/>
                <w:bCs/>
                <w:sz w:val="24"/>
              </w:rPr>
            </w:pPr>
          </w:p>
          <w:p>
            <w:pPr>
              <w:jc w:val="center"/>
              <w:rPr>
                <w:rFonts w:ascii="Times New Roman" w:hAnsi="Times New Roman" w:eastAsia="宋体" w:cs="Times New Roman"/>
                <w:b/>
                <w:bCs/>
                <w:szCs w:val="21"/>
              </w:rPr>
            </w:pPr>
            <w:r>
              <w:rPr>
                <w:rFonts w:ascii="Times New Roman" w:hAnsi="Times New Roman" w:eastAsia="宋体" w:cs="Times New Roman"/>
                <w:szCs w:val="21"/>
              </w:rPr>
              <w:drawing>
                <wp:inline distT="0" distB="0" distL="0" distR="0">
                  <wp:extent cx="5225415" cy="3422650"/>
                  <wp:effectExtent l="0" t="0" r="0" b="635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pic:nvPicPr>
                        <pic:blipFill>
                          <a:blip r:embed="rId8" cstate="print">
                            <a:extLst>
                              <a:ext uri="{28A0092B-C50C-407E-A947-70E740481C1C}">
                                <a14:useLocalDpi xmlns:a14="http://schemas.microsoft.com/office/drawing/2010/main" val="0"/>
                              </a:ext>
                            </a:extLst>
                          </a:blip>
                          <a:srcRect t="9064" b="9064"/>
                          <a:stretch>
                            <a:fillRect/>
                          </a:stretch>
                        </pic:blipFill>
                        <pic:spPr>
                          <a:xfrm>
                            <a:off x="0" y="0"/>
                            <a:ext cx="5225952" cy="3422888"/>
                          </a:xfrm>
                          <a:prstGeom prst="rect">
                            <a:avLst/>
                          </a:prstGeom>
                          <a:ln>
                            <a:noFill/>
                          </a:ln>
                        </pic:spPr>
                      </pic:pic>
                    </a:graphicData>
                  </a:graphic>
                </wp:inline>
              </w:drawing>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图2-3  项目平面布置图</w:t>
            </w:r>
          </w:p>
          <w:p>
            <w:pPr>
              <w:spacing w:line="360" w:lineRule="auto"/>
              <w:jc w:val="center"/>
              <w:rPr>
                <w:rFonts w:ascii="Times New Roman" w:hAnsi="Times New Roman" w:eastAsia="宋体" w:cs="Times New Roman"/>
                <w:b/>
                <w:bCs/>
                <w:sz w:val="24"/>
              </w:rPr>
            </w:pP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江苏乐开机电有限公司冷锻产品和模具加工建设项目环境影响报告表》（江苏南大环保科技有限公司，2021年）以及盐城市大丰区行政审批局《江苏乐开机电有限公司冷锻产品和模具加工建设项目环境影响报告表的审批意见》（盐环表复[2021]82131号），通过现场踏勘和环评对照分析，现将有关具体情况说明如下</w:t>
            </w:r>
            <w:r>
              <w:rPr>
                <w:rFonts w:hint="eastAsia" w:ascii="Times New Roman" w:hAnsi="Times New Roman" w:eastAsia="宋体" w:cs="Times New Roman"/>
                <w:sz w:val="24"/>
              </w:rPr>
              <w:t>表2</w:t>
            </w:r>
            <w:r>
              <w:rPr>
                <w:rFonts w:ascii="Times New Roman" w:hAnsi="Times New Roman" w:eastAsia="宋体" w:cs="Times New Roman"/>
                <w:sz w:val="24"/>
              </w:rPr>
              <w:t>-2</w:t>
            </w:r>
            <w:r>
              <w:rPr>
                <w:rFonts w:hint="eastAsia" w:ascii="Times New Roman" w:hAnsi="Times New Roman" w:eastAsia="宋体" w:cs="Times New Roman"/>
                <w:sz w:val="24"/>
              </w:rPr>
              <w:t>所示</w:t>
            </w:r>
            <w:r>
              <w:rPr>
                <w:rFonts w:ascii="Times New Roman" w:hAnsi="Times New Roman" w:eastAsia="宋体" w:cs="Times New Roman"/>
                <w:sz w:val="24"/>
              </w:rPr>
              <w:t>：</w:t>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表2-2  项目主要建设内容对照表</w:t>
            </w:r>
          </w:p>
          <w:tbl>
            <w:tblPr>
              <w:tblStyle w:val="17"/>
              <w:tblW w:w="884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54"/>
              <w:gridCol w:w="426"/>
              <w:gridCol w:w="663"/>
              <w:gridCol w:w="2376"/>
              <w:gridCol w:w="1843"/>
              <w:gridCol w:w="992"/>
              <w:gridCol w:w="15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0" w:hRule="atLeast"/>
                <w:jc w:val="center"/>
              </w:trPr>
              <w:tc>
                <w:tcPr>
                  <w:tcW w:w="954"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类别</w:t>
                  </w:r>
                </w:p>
              </w:tc>
              <w:tc>
                <w:tcPr>
                  <w:tcW w:w="1089" w:type="dxa"/>
                  <w:gridSpan w:val="2"/>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建筑名称</w:t>
                  </w:r>
                </w:p>
              </w:tc>
              <w:tc>
                <w:tcPr>
                  <w:tcW w:w="2376"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环评建设内容</w:t>
                  </w:r>
                </w:p>
              </w:tc>
              <w:tc>
                <w:tcPr>
                  <w:tcW w:w="1843"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实际建设情况</w:t>
                  </w:r>
                </w:p>
              </w:tc>
              <w:tc>
                <w:tcPr>
                  <w:tcW w:w="992"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变化情况说明</w:t>
                  </w:r>
                </w:p>
              </w:tc>
              <w:tc>
                <w:tcPr>
                  <w:tcW w:w="1595"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1" w:hRule="atLeast"/>
                <w:jc w:val="center"/>
              </w:trPr>
              <w:tc>
                <w:tcPr>
                  <w:tcW w:w="954" w:type="dxa"/>
                  <w:vMerge w:val="restart"/>
                  <w:shd w:val="clear" w:color="auto" w:fill="FFFFFF" w:themeFill="background1"/>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主体工程</w:t>
                  </w:r>
                </w:p>
              </w:tc>
              <w:tc>
                <w:tcPr>
                  <w:tcW w:w="1089" w:type="dxa"/>
                  <w:gridSpan w:val="2"/>
                  <w:tcBorders>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 w:val="20"/>
                      <w:szCs w:val="21"/>
                      <w14:textFill>
                        <w14:solidFill>
                          <w14:schemeClr w14:val="tx1"/>
                        </w14:solidFill>
                      </w14:textFill>
                    </w:rPr>
                    <w:t>1#</w:t>
                  </w:r>
                  <w:r>
                    <w:rPr>
                      <w:rFonts w:hint="eastAsia" w:ascii="Times New Roman" w:hAnsi="Times New Roman" w:eastAsia="宋体" w:cs="Times New Roman"/>
                      <w:color w:val="000000" w:themeColor="text1"/>
                      <w:kern w:val="0"/>
                      <w:sz w:val="20"/>
                      <w:szCs w:val="21"/>
                      <w14:textFill>
                        <w14:solidFill>
                          <w14:schemeClr w14:val="tx1"/>
                        </w14:solidFill>
                      </w14:textFill>
                    </w:rPr>
                    <w:t>生产车间</w:t>
                  </w:r>
                </w:p>
              </w:tc>
              <w:tc>
                <w:tcPr>
                  <w:tcW w:w="2376" w:type="dxa"/>
                  <w:tcBorders>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vertAlign w:val="superscript"/>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建筑占地面积为</w:t>
                  </w:r>
                  <w:r>
                    <w:rPr>
                      <w:rFonts w:ascii="Times New Roman" w:hAnsi="Times New Roman" w:eastAsia="宋体" w:cs="Times New Roman"/>
                      <w:color w:val="000000" w:themeColor="text1"/>
                      <w:kern w:val="0"/>
                      <w:sz w:val="20"/>
                      <w:szCs w:val="21"/>
                      <w14:textFill>
                        <w14:solidFill>
                          <w14:schemeClr w14:val="tx1"/>
                        </w14:solidFill>
                      </w14:textFill>
                    </w:rPr>
                    <w:t>5581m</w:t>
                  </w:r>
                  <w:r>
                    <w:rPr>
                      <w:rFonts w:ascii="Times New Roman" w:hAnsi="Times New Roman" w:eastAsia="宋体" w:cs="Times New Roman"/>
                      <w:color w:val="000000" w:themeColor="text1"/>
                      <w:kern w:val="0"/>
                      <w:sz w:val="20"/>
                      <w:szCs w:val="21"/>
                      <w:vertAlign w:val="superscript"/>
                      <w14:textFill>
                        <w14:solidFill>
                          <w14:schemeClr w14:val="tx1"/>
                        </w14:solidFill>
                      </w14:textFill>
                    </w:rPr>
                    <w:t>2</w:t>
                  </w:r>
                </w:p>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（环评阶段已建成，外租）</w:t>
                  </w:r>
                </w:p>
              </w:tc>
              <w:tc>
                <w:tcPr>
                  <w:tcW w:w="1843" w:type="dxa"/>
                  <w:tcBorders>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建筑占地面积为</w:t>
                  </w:r>
                  <w:r>
                    <w:rPr>
                      <w:rFonts w:ascii="Times New Roman" w:hAnsi="Times New Roman" w:eastAsia="宋体" w:cs="Times New Roman"/>
                      <w:color w:val="000000" w:themeColor="text1"/>
                      <w:kern w:val="0"/>
                      <w:sz w:val="20"/>
                      <w:szCs w:val="21"/>
                      <w14:textFill>
                        <w14:solidFill>
                          <w14:schemeClr w14:val="tx1"/>
                        </w14:solidFill>
                      </w14:textFill>
                    </w:rPr>
                    <w:t>5581m</w:t>
                  </w:r>
                  <w:r>
                    <w:rPr>
                      <w:rFonts w:ascii="Times New Roman" w:hAnsi="Times New Roman" w:eastAsia="宋体" w:cs="Times New Roman"/>
                      <w:color w:val="000000" w:themeColor="text1"/>
                      <w:kern w:val="0"/>
                      <w:sz w:val="20"/>
                      <w:szCs w:val="21"/>
                      <w:vertAlign w:val="superscript"/>
                      <w14:textFill>
                        <w14:solidFill>
                          <w14:schemeClr w14:val="tx1"/>
                        </w14:solidFill>
                      </w14:textFill>
                    </w:rPr>
                    <w:t>2</w:t>
                  </w:r>
                </w:p>
              </w:tc>
              <w:tc>
                <w:tcPr>
                  <w:tcW w:w="992" w:type="dxa"/>
                  <w:tcBorders>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一致</w:t>
                  </w:r>
                </w:p>
              </w:tc>
              <w:tc>
                <w:tcPr>
                  <w:tcW w:w="1595" w:type="dxa"/>
                  <w:tcBorders>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已建成，外租，不在本次验收范围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9"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p>
              </w:tc>
              <w:tc>
                <w:tcPr>
                  <w:tcW w:w="1089" w:type="dxa"/>
                  <w:gridSpan w:val="2"/>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 w:val="20"/>
                      <w:szCs w:val="21"/>
                      <w14:textFill>
                        <w14:solidFill>
                          <w14:schemeClr w14:val="tx1"/>
                        </w14:solidFill>
                      </w14:textFill>
                    </w:rPr>
                    <w:t>2#</w:t>
                  </w:r>
                  <w:r>
                    <w:rPr>
                      <w:rFonts w:hint="eastAsia" w:ascii="Times New Roman" w:hAnsi="Times New Roman" w:eastAsia="宋体" w:cs="Times New Roman"/>
                      <w:color w:val="000000" w:themeColor="text1"/>
                      <w:kern w:val="0"/>
                      <w:sz w:val="20"/>
                      <w:szCs w:val="21"/>
                      <w14:textFill>
                        <w14:solidFill>
                          <w14:schemeClr w14:val="tx1"/>
                        </w14:solidFill>
                      </w14:textFill>
                    </w:rPr>
                    <w:t>生产车间</w:t>
                  </w:r>
                </w:p>
              </w:tc>
              <w:tc>
                <w:tcPr>
                  <w:tcW w:w="2376" w:type="dxa"/>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vertAlign w:val="superscript"/>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建筑占地面积为</w:t>
                  </w:r>
                  <w:r>
                    <w:rPr>
                      <w:rFonts w:ascii="Times New Roman" w:hAnsi="Times New Roman" w:eastAsia="宋体" w:cs="Times New Roman"/>
                      <w:color w:val="000000" w:themeColor="text1"/>
                      <w:kern w:val="0"/>
                      <w:sz w:val="20"/>
                      <w:szCs w:val="21"/>
                      <w14:textFill>
                        <w14:solidFill>
                          <w14:schemeClr w14:val="tx1"/>
                        </w14:solidFill>
                      </w14:textFill>
                    </w:rPr>
                    <w:t>5520m</w:t>
                  </w:r>
                  <w:r>
                    <w:rPr>
                      <w:rFonts w:ascii="Times New Roman" w:hAnsi="Times New Roman" w:eastAsia="宋体" w:cs="Times New Roman"/>
                      <w:color w:val="000000" w:themeColor="text1"/>
                      <w:kern w:val="0"/>
                      <w:sz w:val="20"/>
                      <w:szCs w:val="21"/>
                      <w:vertAlign w:val="superscript"/>
                      <w14:textFill>
                        <w14:solidFill>
                          <w14:schemeClr w14:val="tx1"/>
                        </w14:solidFill>
                      </w14:textFill>
                    </w:rPr>
                    <w:t>2</w:t>
                  </w:r>
                </w:p>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（环评阶段已建成，外租）</w:t>
                  </w:r>
                </w:p>
              </w:tc>
              <w:tc>
                <w:tcPr>
                  <w:tcW w:w="1843" w:type="dxa"/>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建筑占地面积为</w:t>
                  </w:r>
                  <w:r>
                    <w:rPr>
                      <w:rFonts w:ascii="Times New Roman" w:hAnsi="Times New Roman" w:eastAsia="宋体" w:cs="Times New Roman"/>
                      <w:color w:val="000000" w:themeColor="text1"/>
                      <w:kern w:val="0"/>
                      <w:sz w:val="20"/>
                      <w:szCs w:val="21"/>
                      <w14:textFill>
                        <w14:solidFill>
                          <w14:schemeClr w14:val="tx1"/>
                        </w14:solidFill>
                      </w14:textFill>
                    </w:rPr>
                    <w:t>5581m</w:t>
                  </w:r>
                  <w:r>
                    <w:rPr>
                      <w:rFonts w:ascii="Times New Roman" w:hAnsi="Times New Roman" w:eastAsia="宋体" w:cs="Times New Roman"/>
                      <w:color w:val="000000" w:themeColor="text1"/>
                      <w:kern w:val="0"/>
                      <w:sz w:val="20"/>
                      <w:szCs w:val="21"/>
                      <w:vertAlign w:val="superscript"/>
                      <w14:textFill>
                        <w14:solidFill>
                          <w14:schemeClr w14:val="tx1"/>
                        </w14:solidFill>
                      </w14:textFill>
                    </w:rPr>
                    <w:t>2</w:t>
                  </w:r>
                </w:p>
              </w:tc>
              <w:tc>
                <w:tcPr>
                  <w:tcW w:w="992" w:type="dxa"/>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一致</w:t>
                  </w:r>
                </w:p>
              </w:tc>
              <w:tc>
                <w:tcPr>
                  <w:tcW w:w="1595" w:type="dxa"/>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已建成，外租，不在本次验收范围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6"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p>
              </w:tc>
              <w:tc>
                <w:tcPr>
                  <w:tcW w:w="1089" w:type="dxa"/>
                  <w:gridSpan w:val="2"/>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 w:val="20"/>
                      <w:szCs w:val="21"/>
                      <w14:textFill>
                        <w14:solidFill>
                          <w14:schemeClr w14:val="tx1"/>
                        </w14:solidFill>
                      </w14:textFill>
                    </w:rPr>
                    <w:t>3#</w:t>
                  </w:r>
                  <w:r>
                    <w:rPr>
                      <w:rFonts w:hint="eastAsia" w:ascii="Times New Roman" w:hAnsi="Times New Roman" w:eastAsia="宋体" w:cs="Times New Roman"/>
                      <w:color w:val="000000" w:themeColor="text1"/>
                      <w:kern w:val="0"/>
                      <w:sz w:val="20"/>
                      <w:szCs w:val="21"/>
                      <w14:textFill>
                        <w14:solidFill>
                          <w14:schemeClr w14:val="tx1"/>
                        </w14:solidFill>
                      </w14:textFill>
                    </w:rPr>
                    <w:t>生产车间</w:t>
                  </w:r>
                </w:p>
              </w:tc>
              <w:tc>
                <w:tcPr>
                  <w:tcW w:w="2376" w:type="dxa"/>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vertAlign w:val="superscript"/>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建筑占地面积为</w:t>
                  </w:r>
                  <w:r>
                    <w:rPr>
                      <w:rFonts w:ascii="Times New Roman" w:hAnsi="Times New Roman" w:eastAsia="宋体" w:cs="Times New Roman"/>
                      <w:color w:val="000000" w:themeColor="text1"/>
                      <w:kern w:val="0"/>
                      <w:sz w:val="20"/>
                      <w:szCs w:val="21"/>
                      <w14:textFill>
                        <w14:solidFill>
                          <w14:schemeClr w14:val="tx1"/>
                        </w14:solidFill>
                      </w14:textFill>
                    </w:rPr>
                    <w:t>5995m</w:t>
                  </w:r>
                  <w:r>
                    <w:rPr>
                      <w:rFonts w:ascii="Times New Roman" w:hAnsi="Times New Roman" w:eastAsia="宋体" w:cs="Times New Roman"/>
                      <w:color w:val="000000" w:themeColor="text1"/>
                      <w:kern w:val="0"/>
                      <w:sz w:val="20"/>
                      <w:szCs w:val="21"/>
                      <w:vertAlign w:val="superscript"/>
                      <w14:textFill>
                        <w14:solidFill>
                          <w14:schemeClr w14:val="tx1"/>
                        </w14:solidFill>
                      </w14:textFill>
                    </w:rPr>
                    <w:t>2</w:t>
                  </w:r>
                </w:p>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（环评中新建）</w:t>
                  </w:r>
                </w:p>
              </w:tc>
              <w:tc>
                <w:tcPr>
                  <w:tcW w:w="1843" w:type="dxa"/>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建筑占地面积为</w:t>
                  </w:r>
                  <w:r>
                    <w:rPr>
                      <w:rFonts w:ascii="Times New Roman" w:hAnsi="Times New Roman" w:eastAsia="宋体" w:cs="Times New Roman"/>
                      <w:color w:val="000000" w:themeColor="text1"/>
                      <w:kern w:val="0"/>
                      <w:sz w:val="20"/>
                      <w:szCs w:val="21"/>
                      <w14:textFill>
                        <w14:solidFill>
                          <w14:schemeClr w14:val="tx1"/>
                        </w14:solidFill>
                      </w14:textFill>
                    </w:rPr>
                    <w:t>5581m</w:t>
                  </w:r>
                  <w:r>
                    <w:rPr>
                      <w:rFonts w:ascii="Times New Roman" w:hAnsi="Times New Roman" w:eastAsia="宋体" w:cs="Times New Roman"/>
                      <w:color w:val="000000" w:themeColor="text1"/>
                      <w:kern w:val="0"/>
                      <w:sz w:val="20"/>
                      <w:szCs w:val="21"/>
                      <w:vertAlign w:val="superscript"/>
                      <w14:textFill>
                        <w14:solidFill>
                          <w14:schemeClr w14:val="tx1"/>
                        </w14:solidFill>
                      </w14:textFill>
                    </w:rPr>
                    <w:t>2</w:t>
                  </w:r>
                </w:p>
              </w:tc>
              <w:tc>
                <w:tcPr>
                  <w:tcW w:w="992" w:type="dxa"/>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一致</w:t>
                  </w:r>
                </w:p>
              </w:tc>
              <w:tc>
                <w:tcPr>
                  <w:tcW w:w="1595" w:type="dxa"/>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已建成，空置，不在本次验收范围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3"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p>
              </w:tc>
              <w:tc>
                <w:tcPr>
                  <w:tcW w:w="1089" w:type="dxa"/>
                  <w:gridSpan w:val="2"/>
                  <w:tcBorders>
                    <w:top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4#生产车间</w:t>
                  </w:r>
                </w:p>
              </w:tc>
              <w:tc>
                <w:tcPr>
                  <w:tcW w:w="2376" w:type="dxa"/>
                  <w:tcBorders>
                    <w:top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Cs w:val="21"/>
                      <w:vertAlign w:val="superscript"/>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占地面积为5882m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（环评中新建）</w:t>
                  </w:r>
                </w:p>
              </w:tc>
              <w:tc>
                <w:tcPr>
                  <w:tcW w:w="1843" w:type="dxa"/>
                  <w:tcBorders>
                    <w:top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占地面积为5882m</w:t>
                  </w:r>
                  <w:r>
                    <w:rPr>
                      <w:rFonts w:ascii="Times New Roman" w:hAnsi="Times New Roman" w:eastAsia="宋体" w:cs="Times New Roman"/>
                      <w:color w:val="000000" w:themeColor="text1"/>
                      <w:kern w:val="0"/>
                      <w:szCs w:val="21"/>
                      <w:vertAlign w:val="superscript"/>
                      <w14:textFill>
                        <w14:solidFill>
                          <w14:schemeClr w14:val="tx1"/>
                        </w14:solidFill>
                      </w14:textFill>
                    </w:rPr>
                    <w:t>2</w:t>
                  </w:r>
                </w:p>
              </w:tc>
              <w:tc>
                <w:tcPr>
                  <w:tcW w:w="992" w:type="dxa"/>
                  <w:tcBorders>
                    <w:top w:val="single" w:color="auto" w:sz="4" w:space="0"/>
                  </w:tcBorders>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一致</w:t>
                  </w:r>
                </w:p>
              </w:tc>
              <w:tc>
                <w:tcPr>
                  <w:tcW w:w="1595" w:type="dxa"/>
                  <w:tcBorders>
                    <w:top w:val="single" w:color="auto" w:sz="4" w:space="0"/>
                  </w:tcBorders>
                  <w:shd w:val="clear" w:color="auto" w:fill="FFFFFF" w:themeFill="background1"/>
                  <w:vAlign w:val="center"/>
                </w:tcPr>
                <w:p>
                  <w:pPr>
                    <w:jc w:val="center"/>
                    <w:rPr>
                      <w:rFonts w:ascii="Times New Roman" w:hAnsi="Times New Roman" w:eastAsia="宋体" w:cs="Times New Roman"/>
                      <w:b/>
                      <w:bCs/>
                      <w:color w:val="000000" w:themeColor="text1"/>
                      <w:kern w:val="0"/>
                      <w:sz w:val="20"/>
                      <w:szCs w:val="21"/>
                      <w14:textFill>
                        <w14:solidFill>
                          <w14:schemeClr w14:val="tx1"/>
                        </w14:solidFill>
                      </w14:textFill>
                    </w:rPr>
                  </w:pPr>
                  <w:r>
                    <w:rPr>
                      <w:rFonts w:hint="eastAsia" w:ascii="Times New Roman" w:hAnsi="Times New Roman" w:eastAsia="宋体" w:cs="Times New Roman"/>
                      <w:b/>
                      <w:bCs/>
                      <w:color w:val="000000" w:themeColor="text1"/>
                      <w:kern w:val="0"/>
                      <w:sz w:val="20"/>
                      <w:szCs w:val="21"/>
                      <w14:textFill>
                        <w14:solidFill>
                          <w14:schemeClr w14:val="tx1"/>
                        </w14:solidFill>
                      </w14:textFill>
                    </w:rPr>
                    <w:t>内设本次冷锻产品和模具加工建设项目生产线，属于本次验收范围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621" w:hRule="atLeast"/>
                <w:jc w:val="center"/>
              </w:trPr>
              <w:tc>
                <w:tcPr>
                  <w:tcW w:w="954"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辅助工程</w:t>
                  </w: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附属用房</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占地面积242m</w:t>
                  </w:r>
                  <w:r>
                    <w:rPr>
                      <w:rFonts w:ascii="Times New Roman" w:hAnsi="Times New Roman" w:eastAsia="宋体" w:cs="Times New Roman"/>
                      <w:kern w:val="0"/>
                      <w:szCs w:val="21"/>
                      <w:vertAlign w:val="superscript"/>
                    </w:rPr>
                    <w:t>2</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占地面积242m</w:t>
                  </w:r>
                  <w:r>
                    <w:rPr>
                      <w:rFonts w:ascii="Times New Roman" w:hAnsi="Times New Roman" w:eastAsia="宋体" w:cs="Times New Roman"/>
                      <w:kern w:val="0"/>
                      <w:szCs w:val="21"/>
                      <w:vertAlign w:val="superscript"/>
                    </w:rPr>
                    <w:t>2</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2"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配电房</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占地面积46m</w:t>
                  </w:r>
                  <w:r>
                    <w:rPr>
                      <w:rFonts w:ascii="Times New Roman" w:hAnsi="Times New Roman" w:eastAsia="宋体" w:cs="Times New Roman"/>
                      <w:kern w:val="0"/>
                      <w:szCs w:val="21"/>
                      <w:vertAlign w:val="superscript"/>
                    </w:rPr>
                    <w:t>2</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占地面积46m</w:t>
                  </w:r>
                  <w:r>
                    <w:rPr>
                      <w:rFonts w:ascii="Times New Roman" w:hAnsi="Times New Roman" w:eastAsia="宋体" w:cs="Times New Roman"/>
                      <w:kern w:val="0"/>
                      <w:szCs w:val="21"/>
                      <w:vertAlign w:val="superscript"/>
                    </w:rPr>
                    <w:t>2</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0" w:hRule="atLeast"/>
                <w:jc w:val="center"/>
              </w:trPr>
              <w:tc>
                <w:tcPr>
                  <w:tcW w:w="954"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公用工程</w:t>
                  </w: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给水</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园区给水管网统一供给</w:t>
                  </w:r>
                </w:p>
              </w:tc>
              <w:tc>
                <w:tcPr>
                  <w:tcW w:w="1843"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园区给水管网统一供给</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57"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排水</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生产废水经厂区自建污水处理站（新建）处理后与经化粪池（依托现有）处理后生活废水一同排入市政管网</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生产废水经厂区自建污水处理站（新建）处理后与经化粪池（依托现有）处理后生活废水一同排入市政管网</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2"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供电</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由园区电网统一供给</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由园区电网统一供给</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2"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空压机</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5*6.4m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/min</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5*6.4m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/min</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2"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氮气系统</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30t/a</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30t/a</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2"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绿化</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占地面积2000</w:t>
                  </w:r>
                  <w:r>
                    <w:rPr>
                      <w:rFonts w:ascii="Times New Roman" w:hAnsi="Times New Roman" w:eastAsia="宋体" w:cs="Times New Roman"/>
                      <w:color w:val="000000"/>
                      <w:kern w:val="0"/>
                      <w:szCs w:val="21"/>
                    </w:rPr>
                    <w:t>m</w:t>
                  </w:r>
                  <w:r>
                    <w:rPr>
                      <w:rFonts w:ascii="Times New Roman" w:hAnsi="Times New Roman" w:eastAsia="宋体" w:cs="Times New Roman"/>
                      <w:color w:val="000000"/>
                      <w:kern w:val="0"/>
                      <w:szCs w:val="21"/>
                      <w:vertAlign w:val="superscript"/>
                    </w:rPr>
                    <w:t>2</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占地面积2000</w:t>
                  </w:r>
                  <w:r>
                    <w:rPr>
                      <w:rFonts w:ascii="Times New Roman" w:hAnsi="Times New Roman" w:eastAsia="宋体" w:cs="Times New Roman"/>
                      <w:color w:val="000000"/>
                      <w:kern w:val="0"/>
                      <w:szCs w:val="21"/>
                    </w:rPr>
                    <w:t>m</w:t>
                  </w:r>
                  <w:r>
                    <w:rPr>
                      <w:rFonts w:ascii="Times New Roman" w:hAnsi="Times New Roman" w:eastAsia="宋体" w:cs="Times New Roman"/>
                      <w:color w:val="000000"/>
                      <w:kern w:val="0"/>
                      <w:szCs w:val="21"/>
                      <w:vertAlign w:val="superscript"/>
                    </w:rPr>
                    <w:t>2</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2"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门卫</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154</w:t>
                  </w:r>
                  <w:r>
                    <w:rPr>
                      <w:rFonts w:ascii="Times New Roman" w:hAnsi="Times New Roman" w:eastAsia="宋体" w:cs="Times New Roman"/>
                      <w:color w:val="000000"/>
                      <w:kern w:val="0"/>
                      <w:szCs w:val="21"/>
                    </w:rPr>
                    <w:t>m</w:t>
                  </w:r>
                  <w:r>
                    <w:rPr>
                      <w:rFonts w:ascii="Times New Roman" w:hAnsi="Times New Roman" w:eastAsia="宋体" w:cs="Times New Roman"/>
                      <w:color w:val="000000"/>
                      <w:kern w:val="0"/>
                      <w:szCs w:val="21"/>
                      <w:vertAlign w:val="superscript"/>
                    </w:rPr>
                    <w:t>2</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154</w:t>
                  </w:r>
                  <w:r>
                    <w:rPr>
                      <w:rFonts w:ascii="Times New Roman" w:hAnsi="Times New Roman" w:eastAsia="宋体" w:cs="Times New Roman"/>
                      <w:color w:val="000000"/>
                      <w:kern w:val="0"/>
                      <w:szCs w:val="21"/>
                    </w:rPr>
                    <w:t>m</w:t>
                  </w:r>
                  <w:r>
                    <w:rPr>
                      <w:rFonts w:ascii="Times New Roman" w:hAnsi="Times New Roman" w:eastAsia="宋体" w:cs="Times New Roman"/>
                      <w:color w:val="000000"/>
                      <w:kern w:val="0"/>
                      <w:szCs w:val="21"/>
                      <w:vertAlign w:val="superscript"/>
                    </w:rPr>
                    <w:t>2</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2"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停车位</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90个</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90个</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1" w:hRule="atLeast"/>
                <w:jc w:val="center"/>
              </w:trPr>
              <w:tc>
                <w:tcPr>
                  <w:tcW w:w="954"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储运工程</w:t>
                  </w: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原料仓库</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70m</w:t>
                  </w:r>
                  <w:r>
                    <w:rPr>
                      <w:rFonts w:ascii="Times New Roman" w:hAnsi="Times New Roman" w:eastAsia="宋体" w:cs="Times New Roman"/>
                      <w:kern w:val="0"/>
                      <w:szCs w:val="21"/>
                      <w:vertAlign w:val="superscript"/>
                    </w:rPr>
                    <w:t>2</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70m</w:t>
                  </w:r>
                  <w:r>
                    <w:rPr>
                      <w:rFonts w:ascii="Times New Roman" w:hAnsi="Times New Roman" w:eastAsia="宋体" w:cs="Times New Roman"/>
                      <w:kern w:val="0"/>
                      <w:szCs w:val="21"/>
                      <w:vertAlign w:val="superscript"/>
                    </w:rPr>
                    <w:t>2</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成品仓库</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70m</w:t>
                  </w:r>
                  <w:r>
                    <w:rPr>
                      <w:rFonts w:ascii="Times New Roman" w:hAnsi="Times New Roman" w:eastAsia="宋体" w:cs="Times New Roman"/>
                      <w:kern w:val="0"/>
                      <w:szCs w:val="21"/>
                      <w:vertAlign w:val="superscript"/>
                    </w:rPr>
                    <w:t>2</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70m</w:t>
                  </w:r>
                  <w:r>
                    <w:rPr>
                      <w:rFonts w:ascii="Times New Roman" w:hAnsi="Times New Roman" w:eastAsia="宋体" w:cs="Times New Roman"/>
                      <w:kern w:val="0"/>
                      <w:szCs w:val="21"/>
                      <w:vertAlign w:val="superscript"/>
                    </w:rPr>
                    <w:t>2</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8"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辅料仓库</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10m</w:t>
                  </w:r>
                  <w:r>
                    <w:rPr>
                      <w:rFonts w:ascii="Times New Roman" w:hAnsi="Times New Roman" w:eastAsia="宋体" w:cs="Times New Roman"/>
                      <w:kern w:val="0"/>
                      <w:szCs w:val="21"/>
                      <w:vertAlign w:val="superscript"/>
                    </w:rPr>
                    <w:t>2</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10m</w:t>
                  </w:r>
                  <w:r>
                    <w:rPr>
                      <w:rFonts w:ascii="Times New Roman" w:hAnsi="Times New Roman" w:eastAsia="宋体" w:cs="Times New Roman"/>
                      <w:kern w:val="0"/>
                      <w:szCs w:val="21"/>
                      <w:vertAlign w:val="superscript"/>
                    </w:rPr>
                    <w:t>2</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76" w:hRule="atLeast"/>
                <w:jc w:val="center"/>
              </w:trPr>
              <w:tc>
                <w:tcPr>
                  <w:tcW w:w="954" w:type="dxa"/>
                  <w:vMerge w:val="restart"/>
                  <w:shd w:val="clear" w:color="auto" w:fill="FFFFFF" w:themeFill="background1"/>
                  <w:vAlign w:val="center"/>
                </w:tcPr>
                <w:p>
                  <w:pPr>
                    <w:jc w:val="center"/>
                    <w:rPr>
                      <w:rFonts w:ascii="Times New Roman" w:hAnsi="Times New Roman" w:eastAsia="宋体" w:cs="Times New Roman"/>
                      <w:kern w:val="0"/>
                      <w:szCs w:val="21"/>
                    </w:rPr>
                  </w:pPr>
                  <w:bookmarkStart w:id="3" w:name="_Hlk98918404"/>
                  <w:r>
                    <w:rPr>
                      <w:rFonts w:ascii="Times New Roman" w:hAnsi="Times New Roman" w:eastAsia="宋体" w:cs="Times New Roman"/>
                      <w:kern w:val="0"/>
                      <w:szCs w:val="21"/>
                    </w:rPr>
                    <w:t>环保工程</w:t>
                  </w: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废水</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生产废水经厂区自建污水处理站（新建）处理后与经化粪池（依托现有）处理后生活废水一同排入市政管网</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生产废水经厂区自建污水处理站（新建）处理后与经化粪池（依托现有）处理后生活废水一同排入市政管网</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2"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废气</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1套布袋除尘+15m排气筒（FQ-1）</w:t>
                  </w:r>
                </w:p>
              </w:tc>
              <w:tc>
                <w:tcPr>
                  <w:tcW w:w="1843" w:type="dxa"/>
                  <w:shd w:val="clear" w:color="auto" w:fill="FFFFFF" w:themeFill="background1"/>
                  <w:vAlign w:val="center"/>
                </w:tcPr>
                <w:p>
                  <w:pPr>
                    <w:adjustRightInd w:val="0"/>
                    <w:snapToGrid w:val="0"/>
                    <w:jc w:val="center"/>
                    <w:rPr>
                      <w:rFonts w:ascii="Times New Roman" w:hAnsi="Times New Roman" w:eastAsia="宋体" w:cs="Times New Roman"/>
                      <w:kern w:val="0"/>
                      <w:szCs w:val="21"/>
                    </w:rPr>
                  </w:pPr>
                  <w:r>
                    <w:rPr>
                      <w:rFonts w:ascii="Times New Roman" w:hAnsi="Times New Roman" w:eastAsia="宋体" w:cs="Times New Roman"/>
                      <w:kern w:val="0"/>
                      <w:szCs w:val="21"/>
                    </w:rPr>
                    <w:t>2套布袋除尘+15m排气筒（FQ-1）</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布袋除尘处理设施增加一套</w:t>
                  </w:r>
                </w:p>
              </w:tc>
              <w:tc>
                <w:tcPr>
                  <w:tcW w:w="159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因在实际建设过程中考虑处理设施的空间放置和管道布设等原因，</w:t>
                  </w:r>
                  <w:r>
                    <w:rPr>
                      <w:rFonts w:ascii="Times New Roman" w:hAnsi="Times New Roman" w:eastAsia="宋体" w:cs="Times New Roman"/>
                      <w:b/>
                      <w:bCs/>
                      <w:color w:val="000000" w:themeColor="text1"/>
                      <w:kern w:val="0"/>
                      <w:szCs w:val="21"/>
                      <w14:textFill>
                        <w14:solidFill>
                          <w14:schemeClr w14:val="tx1"/>
                        </w14:solidFill>
                      </w14:textFill>
                    </w:rPr>
                    <w:t>故增设了一套布袋除尘设施</w:t>
                  </w:r>
                  <w:r>
                    <w:rPr>
                      <w:rFonts w:ascii="Times New Roman" w:hAnsi="Times New Roman" w:eastAsia="宋体" w:cs="Times New Roman"/>
                      <w:color w:val="000000" w:themeColor="text1"/>
                      <w:kern w:val="0"/>
                      <w:szCs w:val="21"/>
                      <w14:textFill>
                        <w14:solidFill>
                          <w14:schemeClr w14:val="tx1"/>
                        </w14:solidFill>
                      </w14:textFill>
                    </w:rPr>
                    <w:t>，有效的提高收集效率和处理能力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2"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89"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采取隔声、减振等措施</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采取隔声、减振等措施</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9"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426"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固废</w:t>
                  </w:r>
                </w:p>
              </w:tc>
              <w:tc>
                <w:tcPr>
                  <w:tcW w:w="66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一般工业固废</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一般固废仓库位于厂房外西南侧（40m</w:t>
                  </w:r>
                  <w:r>
                    <w:rPr>
                      <w:rFonts w:ascii="Times New Roman" w:hAnsi="Times New Roman" w:eastAsia="宋体" w:cs="Times New Roman"/>
                      <w:kern w:val="0"/>
                      <w:szCs w:val="21"/>
                      <w:vertAlign w:val="superscript"/>
                    </w:rPr>
                    <w:t>2</w:t>
                  </w:r>
                  <w:r>
                    <w:rPr>
                      <w:rFonts w:ascii="Times New Roman" w:hAnsi="Times New Roman" w:eastAsia="宋体" w:cs="Times New Roman"/>
                      <w:kern w:val="0"/>
                      <w:szCs w:val="21"/>
                    </w:rPr>
                    <w:t>）</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一般固废仓库位于厂房外西南侧（40m</w:t>
                  </w:r>
                  <w:r>
                    <w:rPr>
                      <w:rFonts w:ascii="Times New Roman" w:hAnsi="Times New Roman" w:eastAsia="宋体" w:cs="Times New Roman"/>
                      <w:kern w:val="0"/>
                      <w:szCs w:val="21"/>
                      <w:vertAlign w:val="superscript"/>
                    </w:rPr>
                    <w:t>2</w:t>
                  </w:r>
                  <w:r>
                    <w:rPr>
                      <w:rFonts w:ascii="Times New Roman" w:hAnsi="Times New Roman" w:eastAsia="宋体" w:cs="Times New Roman"/>
                      <w:kern w:val="0"/>
                      <w:szCs w:val="21"/>
                    </w:rPr>
                    <w:t>）</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9" w:hRule="atLeast"/>
                <w:jc w:val="center"/>
              </w:trPr>
              <w:tc>
                <w:tcPr>
                  <w:tcW w:w="95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426"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66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危险废物</w:t>
                  </w:r>
                </w:p>
              </w:tc>
              <w:tc>
                <w:tcPr>
                  <w:tcW w:w="23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危废仓库，位于厂房外西南侧（40m</w:t>
                  </w:r>
                  <w:r>
                    <w:rPr>
                      <w:rFonts w:ascii="Times New Roman" w:hAnsi="Times New Roman" w:eastAsia="宋体" w:cs="Times New Roman"/>
                      <w:kern w:val="0"/>
                      <w:szCs w:val="21"/>
                      <w:vertAlign w:val="superscript"/>
                    </w:rPr>
                    <w:t>2</w:t>
                  </w:r>
                  <w:r>
                    <w:rPr>
                      <w:rFonts w:ascii="Times New Roman" w:hAnsi="Times New Roman" w:eastAsia="宋体" w:cs="Times New Roman"/>
                      <w:kern w:val="0"/>
                      <w:szCs w:val="21"/>
                    </w:rPr>
                    <w:t>）</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危废仓库，位于厂房外西南侧（40m</w:t>
                  </w:r>
                  <w:r>
                    <w:rPr>
                      <w:rFonts w:ascii="Times New Roman" w:hAnsi="Times New Roman" w:eastAsia="宋体" w:cs="Times New Roman"/>
                      <w:kern w:val="0"/>
                      <w:szCs w:val="21"/>
                      <w:vertAlign w:val="superscript"/>
                    </w:rPr>
                    <w:t>2</w:t>
                  </w:r>
                  <w:r>
                    <w:rPr>
                      <w:rFonts w:ascii="Times New Roman" w:hAnsi="Times New Roman" w:eastAsia="宋体" w:cs="Times New Roman"/>
                      <w:kern w:val="0"/>
                      <w:szCs w:val="21"/>
                    </w:rPr>
                    <w:t>）</w:t>
                  </w:r>
                </w:p>
              </w:tc>
              <w:tc>
                <w:tcPr>
                  <w:tcW w:w="99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一致</w:t>
                  </w:r>
                </w:p>
              </w:tc>
              <w:tc>
                <w:tcPr>
                  <w:tcW w:w="1595" w:type="dxa"/>
                  <w:vMerge w:val="continue"/>
                  <w:shd w:val="clear" w:color="auto" w:fill="FFFFFF" w:themeFill="background1"/>
                  <w:vAlign w:val="center"/>
                </w:tcPr>
                <w:p>
                  <w:pPr>
                    <w:jc w:val="center"/>
                    <w:rPr>
                      <w:rFonts w:ascii="Times New Roman" w:hAnsi="Times New Roman" w:eastAsia="宋体" w:cs="Times New Roman"/>
                      <w:kern w:val="0"/>
                      <w:szCs w:val="21"/>
                    </w:rPr>
                  </w:pPr>
                </w:p>
              </w:tc>
            </w:tr>
            <w:bookmarkEnd w:id="3"/>
          </w:tbl>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14" w:type="dxa"/>
            <w:tcBorders>
              <w:bottom w:val="single" w:color="auto" w:sz="4" w:space="0"/>
            </w:tcBorders>
            <w:vAlign w:val="center"/>
          </w:tcPr>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1.2、项目设备清单</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本项目主要设备详见表2-3。</w:t>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表2-3  本项目工程生产设备一览表</w:t>
            </w:r>
          </w:p>
          <w:tbl>
            <w:tblPr>
              <w:tblStyle w:val="16"/>
              <w:tblW w:w="88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080"/>
              <w:gridCol w:w="2363"/>
              <w:gridCol w:w="638"/>
              <w:gridCol w:w="2363"/>
              <w:gridCol w:w="638"/>
              <w:gridCol w:w="1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64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设备名称</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设计型号及规格</w:t>
                  </w:r>
                </w:p>
              </w:tc>
              <w:tc>
                <w:tcPr>
                  <w:tcW w:w="36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bCs/>
                      <w:color w:val="000000" w:themeColor="text1"/>
                      <w:szCs w:val="21"/>
                      <w14:textFill>
                        <w14:solidFill>
                          <w14:schemeClr w14:val="tx1"/>
                        </w14:solidFill>
                      </w14:textFill>
                    </w:rPr>
                    <w:t>设计数量（台/套/个）</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实际型号及规格</w:t>
                  </w:r>
                </w:p>
              </w:tc>
              <w:tc>
                <w:tcPr>
                  <w:tcW w:w="36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bCs/>
                      <w:color w:val="000000" w:themeColor="text1"/>
                      <w:szCs w:val="21"/>
                      <w14:textFill>
                        <w14:solidFill>
                          <w14:schemeClr w14:val="tx1"/>
                        </w14:solidFill>
                      </w14:textFill>
                    </w:rPr>
                    <w:t>实际数量（台/套/个）</w:t>
                  </w:r>
                </w:p>
              </w:tc>
              <w:tc>
                <w:tcPr>
                  <w:tcW w:w="1018"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变动情况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生产设备</w:t>
                  </w: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圆盘锯</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NCB-65</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3</w:t>
                  </w:r>
                </w:p>
              </w:tc>
              <w:tc>
                <w:tcPr>
                  <w:tcW w:w="1186"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NCB-65</w:t>
                  </w:r>
                </w:p>
              </w:tc>
              <w:tc>
                <w:tcPr>
                  <w:tcW w:w="362"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3</w:t>
                  </w:r>
                </w:p>
              </w:tc>
              <w:tc>
                <w:tcPr>
                  <w:tcW w:w="1018"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圆盘锯</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NCB-70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NCB-70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圆盘锯</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NCB-100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NCB-100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带锯</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AMADA</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AMADA</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中频炉</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rPr>
                      <w:kern w:val="0"/>
                    </w:rPr>
                    <w:t>KGPS-YJ-250KW/1KH2</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rPr>
                      <w:kern w:val="0"/>
                    </w:rPr>
                    <w:t>KGPS-YJ-250KW/1KH2</w:t>
                  </w:r>
                </w:p>
              </w:tc>
              <w:tc>
                <w:tcPr>
                  <w:tcW w:w="362"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018"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井式炉</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rPr>
                      <w:kern w:val="0"/>
                    </w:rPr>
                    <w:t>DL-120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6</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DL-120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减少1台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井式炉</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rPr>
                      <w:kern w:val="0"/>
                    </w:rPr>
                    <w:t>DL-300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DL-300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闭式单点压机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Y31Z-315</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Y31Z-315</w:t>
                  </w:r>
                </w:p>
              </w:tc>
              <w:tc>
                <w:tcPr>
                  <w:tcW w:w="362"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018"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兴锻800T三工位压力机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ZXFN-8000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ZXFN-8000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AIDA机械压力机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rPr>
                      <w:kern w:val="0"/>
                    </w:rPr>
                    <w:t>K-250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6</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K-250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四柱液压机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rPr>
                      <w:kern w:val="0"/>
                    </w:rPr>
                    <w:t>FHP1000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FHP-500CII</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8" w:type="pct"/>
                  <w:tcBorders>
                    <w:top w:val="nil"/>
                    <w:left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型号变化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四柱液压机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rPr>
                      <w:kern w:val="0"/>
                    </w:rPr>
                    <w:t>FHP8000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FHP-630CII</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left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型号变化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四柱液压机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rPr>
                      <w:kern w:val="0"/>
                    </w:rPr>
                    <w:t>FHP6300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FHP-100C</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left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型号变化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四柱液压机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rPr>
                      <w:kern w:val="0"/>
                    </w:rPr>
                    <w:t>FHP5000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FHP5000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8" w:type="pct"/>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自动密封式抛丸机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rPr>
                      <w:kern w:val="0"/>
                    </w:rPr>
                    <w:t>LDLQ150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3</w:t>
                  </w:r>
                </w:p>
              </w:tc>
              <w:tc>
                <w:tcPr>
                  <w:tcW w:w="1186"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rPr>
                      <w:kern w:val="0"/>
                    </w:rPr>
                    <w:t>LDLQ150</w:t>
                  </w:r>
                </w:p>
              </w:tc>
              <w:tc>
                <w:tcPr>
                  <w:tcW w:w="362"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3</w:t>
                  </w:r>
                </w:p>
              </w:tc>
              <w:tc>
                <w:tcPr>
                  <w:tcW w:w="1018"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喷砂机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rPr>
                      <w:kern w:val="0"/>
                    </w:rPr>
                    <w:t>JCKRDC-4A</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JCKRDC-4A</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空压机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rPr>
                      <w:kern w:val="0"/>
                    </w:rPr>
                    <w:t>MPV-50A</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4</w:t>
                  </w:r>
                </w:p>
              </w:tc>
              <w:tc>
                <w:tcPr>
                  <w:tcW w:w="1186"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rPr>
                      <w:kern w:val="0"/>
                    </w:rPr>
                    <w:t>MPV-50A</w:t>
                  </w:r>
                </w:p>
              </w:tc>
              <w:tc>
                <w:tcPr>
                  <w:tcW w:w="362"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4</w:t>
                  </w:r>
                </w:p>
              </w:tc>
              <w:tc>
                <w:tcPr>
                  <w:tcW w:w="1018"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空压机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t>LCFD18.5/0117HB</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LCFD18.5/0117HB</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磷化槽</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rPr>
                      <w:kern w:val="0"/>
                    </w:rPr>
                    <w:t>1.3m*1.2m*1.13m(使用时液位0.8m)</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rPr>
                      <w:kern w:val="0"/>
                    </w:rPr>
                    <w:t>1.3m*1.2m*1.13m(使用时液位0.8m)</w:t>
                  </w:r>
                </w:p>
              </w:tc>
              <w:tc>
                <w:tcPr>
                  <w:tcW w:w="362"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018"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皂化槽</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rPr>
                      <w:kern w:val="0"/>
                    </w:rPr>
                    <w:t>1.4m*1.3m*1.22m(使用时液位0.8m)</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1.4m*1.3m*1.22m(使用时液位0.8m)</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清洗槽</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rPr>
                      <w:kern w:val="0"/>
                    </w:rPr>
                    <w:t>1.4m*1.1m*1.1m(使用时液位0.8m)</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1.4m*1.1m*1.1m(使用时液位0.8m)</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数控车床</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t>CK6132A</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6</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CKO640/G 021-E11007</w:t>
                  </w:r>
                </w:p>
              </w:tc>
              <w:tc>
                <w:tcPr>
                  <w:tcW w:w="362"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6</w:t>
                  </w:r>
                </w:p>
              </w:tc>
              <w:tc>
                <w:tcPr>
                  <w:tcW w:w="1018" w:type="pct"/>
                  <w:tcBorders>
                    <w:top w:val="nil"/>
                    <w:left w:val="single" w:color="auto" w:sz="4" w:space="0"/>
                    <w:right w:val="single" w:color="auto" w:sz="4" w:space="0"/>
                  </w:tcBorders>
                  <w:vAlign w:val="center"/>
                </w:tcPr>
                <w:p>
                  <w:pPr>
                    <w:pStyle w:val="7"/>
                    <w:spacing w:before="0" w:beforeAutospacing="0" w:after="0"/>
                    <w:jc w:val="center"/>
                  </w:pPr>
                  <w:r>
                    <w:t>型号变化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数控仪表车床</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CJF0635/A</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CJF0635/A</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8" w:type="pct"/>
                  <w:tcBorders>
                    <w:left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数控车床</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BCK630-II</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3</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TMCKPP20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018" w:type="pct"/>
                  <w:tcBorders>
                    <w:left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型号变化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数控车床</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GA-2000/300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3</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GA-2000/300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018" w:type="pct"/>
                  <w:tcBorders>
                    <w:left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型号变化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数控卡盘车床</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rPr>
                      <w:kern w:val="0"/>
                    </w:rPr>
                    <w:t>CK6132</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CK6132</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8" w:type="pct"/>
                  <w:tcBorders>
                    <w:left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型号变化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数控卡盘车床</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rPr>
                      <w:kern w:val="0"/>
                    </w:rPr>
                    <w:t>CKGV32</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CKO640/G 021-E11006</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型号变化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立式钻床</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t>Z5125</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Z5125</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数控上拉式拉床</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BS20ES3V11</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BS20ES3V11</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普通车床</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t>CA6150A</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CA6150A</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精密卧式珩磨机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HM2000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HM2000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减少1台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加工中心</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S-600P</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S-600P</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电火花成型机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rPr>
                      <w:kern w:val="0"/>
                    </w:rPr>
                    <w:t>SZ2</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SZ2</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线切割机床</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rPr>
                      <w:kern w:val="0"/>
                    </w:rPr>
                    <w:t>CDK7732ZC</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CDK7732ZC</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磨床</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M7130S</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M7130S</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检验包装</w:t>
                  </w: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激光打印机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MARK-III-B</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MARK-III-B</w:t>
                  </w:r>
                </w:p>
              </w:tc>
              <w:tc>
                <w:tcPr>
                  <w:tcW w:w="362"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018"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工业标记打印机</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rPr>
                      <w:kern w:val="0"/>
                    </w:rPr>
                    <w:t>XG5</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XG5</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电子天秤</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rPr>
                      <w:kern w:val="0"/>
                    </w:rPr>
                  </w:pPr>
                  <w:r>
                    <w:t>JD100-2B</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JD100-2B</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电子吊秤</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PCA765</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PCA765</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电子吊秤</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OCS-2</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OCS-2</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金相显微镜</w:t>
                  </w:r>
                </w:p>
              </w:tc>
              <w:tc>
                <w:tcPr>
                  <w:tcW w:w="1186" w:type="pct"/>
                  <w:tcBorders>
                    <w:top w:val="single" w:color="auto" w:sz="4" w:space="0"/>
                    <w:left w:val="single" w:color="auto" w:sz="4" w:space="0"/>
                    <w:bottom w:val="single" w:color="auto" w:sz="4" w:space="0"/>
                    <w:right w:val="single" w:color="auto" w:sz="4" w:space="0"/>
                  </w:tcBorders>
                  <w:vAlign w:val="center"/>
                </w:tcPr>
                <w:p>
                  <w:pPr>
                    <w:pStyle w:val="37"/>
                    <w:spacing w:line="240" w:lineRule="auto"/>
                    <w:rPr>
                      <w:rFonts w:eastAsia="宋体"/>
                      <w:sz w:val="21"/>
                      <w:szCs w:val="21"/>
                    </w:rPr>
                  </w:pPr>
                  <w:r>
                    <w:rPr>
                      <w:rFonts w:eastAsia="宋体"/>
                      <w:sz w:val="21"/>
                      <w:szCs w:val="21"/>
                    </w:rPr>
                    <w:t>XJP16A</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XJP16A</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环保设备</w:t>
                  </w: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调节池提升泵</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WQ5-12-0.75kw含不锈钢管</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WQ5-12-0.75kw含不锈钢管</w:t>
                  </w:r>
                </w:p>
              </w:tc>
              <w:tc>
                <w:tcPr>
                  <w:tcW w:w="362"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018" w:type="pct"/>
                  <w:tcBorders>
                    <w:top w:val="nil"/>
                    <w:left w:val="single" w:color="auto" w:sz="4" w:space="0"/>
                    <w:bottom w:val="single" w:color="auto" w:sz="4" w:space="0"/>
                    <w:right w:val="single" w:color="auto" w:sz="4" w:space="0"/>
                  </w:tcBorders>
                  <w:vAlign w:val="center"/>
                </w:tcPr>
                <w:p>
                  <w:pPr>
                    <w:pStyle w:val="7"/>
                    <w:spacing w:before="0" w:beforeAutospacing="0" w:after="0"/>
                    <w:jc w:val="center"/>
                  </w:pPr>
                  <w: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斜管沉淀池</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CD-10 Q:20m3/D</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CD-10 Q:20m3/D</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反应器</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2000*750*1500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2000*750*1500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中间提升泵</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GTL50-160，Q:15m3/h，H:27M，N:4Kw</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GTL50-160，Q:15m3/h，H:27M，N:4Kw</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锰砂过滤器</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Φ1000*2500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Φ1000*2500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叠螺机</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ZL201旋式</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ZL201旋式</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自动PAM投加装置</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304不锈钢</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304不锈钢</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PAC加药装置</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JY0.5/1-2，外形尺寸：Φ800*1000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JY0.5/1-2，外形尺寸：Φ800*1000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PAM加药装置</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JY0.5/1-2，外形尺寸：Φ800*1000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JY0.5/1-2，外形尺寸：Φ800*1000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除磷剂加药装置</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JY0.5/1-2，外形尺寸：Φ800*1000</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JY0.5/1-2，外形尺寸：Φ800*1000</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液位计</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2</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自控系统</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szCs w:val="21"/>
                    </w:rPr>
                    <w:t>自控、手控</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自控、手控</w:t>
                  </w:r>
                </w:p>
              </w:tc>
              <w:tc>
                <w:tcPr>
                  <w:tcW w:w="362"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018" w:type="pc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 w:type="pct"/>
                  <w:vMerge w:val="continue"/>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p>
              </w:tc>
              <w:tc>
                <w:tcPr>
                  <w:tcW w:w="644"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布袋除尘设施+15m排气筒（FQ-1）</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186"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rPr>
                      <w:kern w:val="0"/>
                    </w:rPr>
                    <w:t>/</w:t>
                  </w:r>
                </w:p>
              </w:tc>
              <w:tc>
                <w:tcPr>
                  <w:tcW w:w="362"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1</w:t>
                  </w:r>
                </w:p>
              </w:tc>
              <w:tc>
                <w:tcPr>
                  <w:tcW w:w="1018" w:type="pct"/>
                  <w:tcBorders>
                    <w:top w:val="single" w:color="auto" w:sz="4" w:space="0"/>
                    <w:left w:val="single" w:color="auto" w:sz="4" w:space="0"/>
                    <w:bottom w:val="single" w:color="auto" w:sz="4" w:space="0"/>
                    <w:right w:val="single" w:color="auto" w:sz="4" w:space="0"/>
                  </w:tcBorders>
                  <w:vAlign w:val="center"/>
                </w:tcPr>
                <w:p>
                  <w:pPr>
                    <w:pStyle w:val="7"/>
                    <w:spacing w:before="0" w:beforeAutospacing="0" w:after="0"/>
                    <w:jc w:val="center"/>
                  </w:pPr>
                  <w:r>
                    <w:t>与环评一致</w:t>
                  </w:r>
                </w:p>
              </w:tc>
            </w:tr>
          </w:tbl>
          <w:p>
            <w:pPr>
              <w:spacing w:line="360" w:lineRule="auto"/>
              <w:jc w:val="left"/>
              <w:rPr>
                <w:rFonts w:ascii="Times New Roman" w:hAnsi="Times New Roman" w:eastAsia="宋体" w:cs="Times New Roman"/>
                <w:b/>
                <w:bCs/>
                <w:sz w:val="24"/>
              </w:rPr>
            </w:pPr>
            <w:r>
              <w:rPr>
                <w:rFonts w:ascii="Times New Roman" w:hAnsi="Times New Roman" w:eastAsia="宋体" w:cs="Times New Roman"/>
                <w:b/>
                <w:bCs/>
                <w:sz w:val="24"/>
              </w:rPr>
              <w:t>二、原辅材料及项目水平衡：</w:t>
            </w:r>
          </w:p>
          <w:p>
            <w:pPr>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kern w:val="24"/>
                <w:sz w:val="24"/>
              </w:rPr>
              <w:t>2.1</w:t>
            </w:r>
            <w:r>
              <w:rPr>
                <w:rFonts w:hint="eastAsia" w:ascii="Times New Roman" w:hAnsi="Times New Roman" w:eastAsia="宋体" w:cs="Times New Roman"/>
                <w:b/>
                <w:bCs/>
                <w:kern w:val="24"/>
                <w:sz w:val="24"/>
              </w:rPr>
              <w:t>、</w:t>
            </w:r>
            <w:r>
              <w:rPr>
                <w:rFonts w:ascii="Times New Roman" w:hAnsi="Times New Roman" w:eastAsia="宋体" w:cs="Times New Roman"/>
                <w:b/>
                <w:bCs/>
                <w:kern w:val="24"/>
                <w:sz w:val="24"/>
              </w:rPr>
              <w:t>原辅材料</w:t>
            </w:r>
          </w:p>
          <w:p>
            <w:pPr>
              <w:pStyle w:val="29"/>
              <w:spacing w:line="360" w:lineRule="auto"/>
              <w:ind w:firstLine="480" w:firstLineChars="200"/>
              <w:rPr>
                <w:rFonts w:ascii="Times New Roman" w:hAnsi="Times New Roman" w:cs="Times New Roman"/>
                <w:color w:val="000000"/>
                <w:sz w:val="24"/>
              </w:rPr>
            </w:pPr>
            <w:r>
              <w:rPr>
                <w:rFonts w:ascii="Times New Roman" w:hAnsi="Times New Roman" w:cs="Times New Roman"/>
                <w:color w:val="000000"/>
                <w:sz w:val="24"/>
              </w:rPr>
              <w:t>本项目具体原辅材料消耗情况见表</w:t>
            </w:r>
            <w:r>
              <w:rPr>
                <w:rFonts w:hint="eastAsia" w:ascii="Times New Roman" w:hAnsi="Times New Roman" w:cs="Times New Roman"/>
                <w:color w:val="000000"/>
                <w:sz w:val="24"/>
              </w:rPr>
              <w:t>2</w:t>
            </w:r>
            <w:r>
              <w:rPr>
                <w:rFonts w:ascii="Times New Roman" w:hAnsi="Times New Roman" w:cs="Times New Roman"/>
                <w:color w:val="000000"/>
                <w:sz w:val="24"/>
              </w:rPr>
              <w:t>-4。</w:t>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w:t>
            </w:r>
            <w:r>
              <w:rPr>
                <w:rFonts w:hint="eastAsia" w:ascii="Times New Roman" w:hAnsi="Times New Roman" w:eastAsia="宋体" w:cs="Times New Roman"/>
                <w:b/>
                <w:bCs/>
                <w:sz w:val="24"/>
              </w:rPr>
              <w:t>2</w:t>
            </w:r>
            <w:r>
              <w:rPr>
                <w:rFonts w:ascii="Times New Roman" w:hAnsi="Times New Roman" w:eastAsia="宋体" w:cs="Times New Roman"/>
                <w:b/>
                <w:bCs/>
                <w:sz w:val="24"/>
              </w:rPr>
              <w:t xml:space="preserve">-4  </w:t>
            </w:r>
            <w:r>
              <w:rPr>
                <w:rFonts w:hint="eastAsia" w:ascii="Times New Roman" w:hAnsi="Times New Roman" w:eastAsia="宋体" w:cs="Times New Roman"/>
                <w:b/>
                <w:bCs/>
                <w:sz w:val="24"/>
              </w:rPr>
              <w:t>本</w:t>
            </w:r>
            <w:r>
              <w:rPr>
                <w:rFonts w:ascii="Times New Roman" w:hAnsi="Times New Roman" w:eastAsia="宋体" w:cs="Times New Roman"/>
                <w:b/>
                <w:bCs/>
                <w:sz w:val="24"/>
              </w:rPr>
              <w:t>项目产品及主要原辅材料一览表</w:t>
            </w:r>
          </w:p>
          <w:tbl>
            <w:tblPr>
              <w:tblStyle w:val="17"/>
              <w:tblW w:w="874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92"/>
              <w:gridCol w:w="2160"/>
              <w:gridCol w:w="1302"/>
              <w:gridCol w:w="1982"/>
              <w:gridCol w:w="1121"/>
              <w:gridCol w:w="138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1"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napToGrid w:val="0"/>
                    <w:spacing w:line="240" w:lineRule="auto"/>
                    <w:ind w:firstLine="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序号</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napToGrid w:val="0"/>
                    <w:spacing w:line="240" w:lineRule="auto"/>
                    <w:ind w:firstLine="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设计主要原辅材料名称</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napToGrid w:val="0"/>
                    <w:spacing w:line="240" w:lineRule="auto"/>
                    <w:ind w:firstLine="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设计年耗用量（t/a）</w:t>
                  </w:r>
                </w:p>
              </w:tc>
              <w:tc>
                <w:tcPr>
                  <w:tcW w:w="198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napToGrid w:val="0"/>
                    <w:spacing w:line="240" w:lineRule="auto"/>
                    <w:ind w:firstLine="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实际主要原辅材料名称</w:t>
                  </w:r>
                </w:p>
              </w:tc>
              <w:tc>
                <w:tcPr>
                  <w:tcW w:w="112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napToGrid w:val="0"/>
                    <w:spacing w:line="240" w:lineRule="auto"/>
                    <w:ind w:firstLine="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实际年耗用量（t/a）</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napToGrid w:val="0"/>
                    <w:spacing w:line="240" w:lineRule="auto"/>
                    <w:ind w:firstLine="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变化情况说明</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9"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10号钢</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2500</w:t>
                  </w:r>
                </w:p>
              </w:tc>
              <w:tc>
                <w:tcPr>
                  <w:tcW w:w="198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10号钢</w:t>
                  </w:r>
                </w:p>
              </w:tc>
              <w:tc>
                <w:tcPr>
                  <w:tcW w:w="112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2230</w:t>
                  </w:r>
                </w:p>
              </w:tc>
              <w:tc>
                <w:tcPr>
                  <w:tcW w:w="1388" w:type="dxa"/>
                  <w:tcBorders>
                    <w:top w:val="nil"/>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AISI4140</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60</w:t>
                  </w:r>
                </w:p>
              </w:tc>
              <w:tc>
                <w:tcPr>
                  <w:tcW w:w="198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AISI4140</w:t>
                  </w:r>
                </w:p>
              </w:tc>
              <w:tc>
                <w:tcPr>
                  <w:tcW w:w="112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4</w:t>
                  </w:r>
                  <w:r>
                    <w:rPr>
                      <w:rFonts w:ascii="Times New Roman" w:hAnsi="Times New Roman" w:cs="Times New Roman"/>
                      <w:color w:val="000000"/>
                      <w:kern w:val="0"/>
                      <w:szCs w:val="21"/>
                    </w:rPr>
                    <w:t>4</w:t>
                  </w:r>
                </w:p>
              </w:tc>
              <w:tc>
                <w:tcPr>
                  <w:tcW w:w="1388" w:type="dxa"/>
                  <w:tcBorders>
                    <w:top w:val="nil"/>
                    <w:left w:val="single" w:color="auto" w:sz="4" w:space="0"/>
                    <w:bottom w:val="single" w:color="auto" w:sz="4" w:space="0"/>
                    <w:right w:val="single" w:color="auto" w:sz="4" w:space="0"/>
                  </w:tcBorders>
                  <w:shd w:val="clear" w:color="auto" w:fill="FFFFFF" w:themeFill="background1"/>
                </w:tcPr>
                <w:p>
                  <w:pPr>
                    <w:jc w:val="center"/>
                    <w:rPr>
                      <w:rFonts w:ascii="Times New Roman" w:hAnsi="Times New Roman" w:eastAsia="宋体" w:cs="Times New Roman"/>
                      <w:color w:val="000000"/>
                      <w:kern w:val="0"/>
                      <w:szCs w:val="21"/>
                    </w:rPr>
                  </w:pPr>
                  <w:r>
                    <w:rPr>
                      <w:rFonts w:hint="eastAsia" w:ascii="Times New Roman" w:hAnsi="Times New Roman" w:eastAsia="宋体"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55号钢</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340</w:t>
                  </w:r>
                </w:p>
              </w:tc>
              <w:tc>
                <w:tcPr>
                  <w:tcW w:w="198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55号钢</w:t>
                  </w:r>
                </w:p>
              </w:tc>
              <w:tc>
                <w:tcPr>
                  <w:tcW w:w="112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320</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20号钢</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200</w:t>
                  </w:r>
                </w:p>
              </w:tc>
              <w:tc>
                <w:tcPr>
                  <w:tcW w:w="198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20号钢</w:t>
                  </w:r>
                </w:p>
              </w:tc>
              <w:tc>
                <w:tcPr>
                  <w:tcW w:w="112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180</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42号钢</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200</w:t>
                  </w:r>
                </w:p>
              </w:tc>
              <w:tc>
                <w:tcPr>
                  <w:tcW w:w="198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42号钢</w:t>
                  </w:r>
                </w:p>
              </w:tc>
              <w:tc>
                <w:tcPr>
                  <w:tcW w:w="112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178</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钢丸</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75</w:t>
                  </w:r>
                </w:p>
              </w:tc>
              <w:tc>
                <w:tcPr>
                  <w:tcW w:w="198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钢丸</w:t>
                  </w:r>
                </w:p>
              </w:tc>
              <w:tc>
                <w:tcPr>
                  <w:tcW w:w="112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6</w:t>
                  </w:r>
                  <w:r>
                    <w:rPr>
                      <w:rFonts w:ascii="Times New Roman" w:hAnsi="Times New Roman" w:cs="Times New Roman"/>
                      <w:color w:val="000000"/>
                      <w:kern w:val="0"/>
                      <w:szCs w:val="21"/>
                    </w:rPr>
                    <w:t>6</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尖角砂</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1982" w:type="dxa"/>
                  <w:tcBorders>
                    <w:top w:val="single" w:color="auto" w:sz="4" w:space="0"/>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尖角砂</w:t>
                  </w:r>
                </w:p>
              </w:tc>
              <w:tc>
                <w:tcPr>
                  <w:tcW w:w="1121" w:type="dxa"/>
                  <w:tcBorders>
                    <w:top w:val="single" w:color="auto" w:sz="4" w:space="0"/>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3</w:t>
                  </w:r>
                  <w:r>
                    <w:rPr>
                      <w:rFonts w:ascii="Times New Roman" w:hAnsi="Times New Roman" w:cs="Times New Roman"/>
                      <w:color w:val="000000"/>
                      <w:kern w:val="0"/>
                      <w:szCs w:val="21"/>
                    </w:rPr>
                    <w:t>.8</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8</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kern w:val="0"/>
                      <w:szCs w:val="21"/>
                    </w:rPr>
                  </w:pPr>
                  <w:r>
                    <w:rPr>
                      <w:rFonts w:ascii="Times New Roman" w:hAnsi="Times New Roman" w:cs="Times New Roman"/>
                      <w:kern w:val="0"/>
                      <w:szCs w:val="21"/>
                    </w:rPr>
                    <w:t>磷化剂</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75</w:t>
                  </w:r>
                </w:p>
              </w:tc>
              <w:tc>
                <w:tcPr>
                  <w:tcW w:w="1982"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磷化剂</w:t>
                  </w:r>
                </w:p>
              </w:tc>
              <w:tc>
                <w:tcPr>
                  <w:tcW w:w="1121"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72.3</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9</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kern w:val="0"/>
                      <w:szCs w:val="21"/>
                    </w:rPr>
                  </w:pPr>
                  <w:r>
                    <w:rPr>
                      <w:rFonts w:ascii="Times New Roman" w:hAnsi="Times New Roman" w:cs="Times New Roman"/>
                      <w:kern w:val="0"/>
                      <w:szCs w:val="21"/>
                    </w:rPr>
                    <w:t>皂化剂</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14.4</w:t>
                  </w:r>
                </w:p>
              </w:tc>
              <w:tc>
                <w:tcPr>
                  <w:tcW w:w="1982"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皂化剂</w:t>
                  </w:r>
                </w:p>
              </w:tc>
              <w:tc>
                <w:tcPr>
                  <w:tcW w:w="1121"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12.3</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kern w:val="0"/>
                      <w:szCs w:val="21"/>
                    </w:rPr>
                  </w:pPr>
                  <w:r>
                    <w:rPr>
                      <w:rFonts w:ascii="Times New Roman" w:hAnsi="Times New Roman" w:cs="Times New Roman"/>
                      <w:kern w:val="0"/>
                      <w:szCs w:val="21"/>
                    </w:rPr>
                    <w:t>液氮</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30</w:t>
                  </w:r>
                </w:p>
              </w:tc>
              <w:tc>
                <w:tcPr>
                  <w:tcW w:w="1982"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液氮</w:t>
                  </w:r>
                </w:p>
              </w:tc>
              <w:tc>
                <w:tcPr>
                  <w:tcW w:w="1121"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2</w:t>
                  </w:r>
                  <w:r>
                    <w:rPr>
                      <w:rFonts w:ascii="Times New Roman" w:hAnsi="Times New Roman" w:cs="Times New Roman"/>
                      <w:color w:val="000000"/>
                      <w:kern w:val="0"/>
                      <w:szCs w:val="21"/>
                    </w:rPr>
                    <w:t>8</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11</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kern w:val="0"/>
                      <w:szCs w:val="21"/>
                    </w:rPr>
                  </w:pPr>
                  <w:r>
                    <w:rPr>
                      <w:rFonts w:ascii="Times New Roman" w:hAnsi="Times New Roman" w:cs="Times New Roman"/>
                      <w:kern w:val="0"/>
                      <w:szCs w:val="21"/>
                    </w:rPr>
                    <w:t>切削液</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0.2</w:t>
                  </w:r>
                </w:p>
              </w:tc>
              <w:tc>
                <w:tcPr>
                  <w:tcW w:w="1982"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切削液</w:t>
                  </w:r>
                </w:p>
              </w:tc>
              <w:tc>
                <w:tcPr>
                  <w:tcW w:w="1121"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0.11</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12</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kern w:val="0"/>
                      <w:szCs w:val="21"/>
                    </w:rPr>
                  </w:pPr>
                  <w:r>
                    <w:rPr>
                      <w:rFonts w:ascii="Times New Roman" w:hAnsi="Times New Roman" w:cs="Times New Roman"/>
                      <w:kern w:val="0"/>
                      <w:szCs w:val="21"/>
                    </w:rPr>
                    <w:t>润滑油</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982"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润滑油</w:t>
                  </w:r>
                </w:p>
              </w:tc>
              <w:tc>
                <w:tcPr>
                  <w:tcW w:w="1121"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.88</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13</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kern w:val="0"/>
                      <w:szCs w:val="21"/>
                    </w:rPr>
                  </w:pPr>
                  <w:r>
                    <w:rPr>
                      <w:rFonts w:ascii="Times New Roman" w:hAnsi="Times New Roman" w:cs="Times New Roman"/>
                      <w:kern w:val="0"/>
                      <w:szCs w:val="21"/>
                    </w:rPr>
                    <w:t>液压油</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1982"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液压油</w:t>
                  </w:r>
                </w:p>
              </w:tc>
              <w:tc>
                <w:tcPr>
                  <w:tcW w:w="1121"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.9</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14</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kern w:val="0"/>
                      <w:szCs w:val="21"/>
                    </w:rPr>
                  </w:pPr>
                  <w:r>
                    <w:rPr>
                      <w:rFonts w:ascii="Times New Roman" w:hAnsi="Times New Roman" w:cs="Times New Roman"/>
                      <w:kern w:val="0"/>
                      <w:szCs w:val="21"/>
                    </w:rPr>
                    <w:t>水处理剂</w:t>
                  </w:r>
                  <w:r>
                    <w:rPr>
                      <w:rFonts w:ascii="Times New Roman" w:hAnsi="Times New Roman" w:cs="Times New Roman"/>
                      <w:b/>
                      <w:bCs/>
                      <w:kern w:val="24"/>
                      <w:sz w:val="24"/>
                    </w:rPr>
                    <w:t>*</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1982"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水处理剂</w:t>
                  </w:r>
                </w:p>
              </w:tc>
              <w:tc>
                <w:tcPr>
                  <w:tcW w:w="1121" w:type="dxa"/>
                  <w:tcBorders>
                    <w:left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4</w:t>
                  </w:r>
                  <w:r>
                    <w:rPr>
                      <w:rFonts w:ascii="Times New Roman" w:hAnsi="Times New Roman" w:cs="Times New Roman"/>
                      <w:color w:val="000000"/>
                      <w:kern w:val="0"/>
                      <w:szCs w:val="21"/>
                    </w:rPr>
                    <w:t>.8</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8"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15</w:t>
                  </w:r>
                </w:p>
              </w:tc>
              <w:tc>
                <w:tcPr>
                  <w:tcW w:w="216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kern w:val="0"/>
                      <w:szCs w:val="21"/>
                    </w:rPr>
                  </w:pPr>
                  <w:r>
                    <w:rPr>
                      <w:rFonts w:ascii="Times New Roman" w:hAnsi="Times New Roman" w:cs="Times New Roman"/>
                      <w:kern w:val="0"/>
                      <w:szCs w:val="21"/>
                    </w:rPr>
                    <w:t>除磷剂</w:t>
                  </w:r>
                </w:p>
              </w:tc>
              <w:tc>
                <w:tcPr>
                  <w:tcW w:w="1302"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1982" w:type="dxa"/>
                  <w:tcBorders>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ascii="Times New Roman" w:hAnsi="Times New Roman" w:cs="Times New Roman"/>
                      <w:kern w:val="0"/>
                      <w:szCs w:val="21"/>
                    </w:rPr>
                    <w:t>除磷剂</w:t>
                  </w:r>
                </w:p>
              </w:tc>
              <w:tc>
                <w:tcPr>
                  <w:tcW w:w="1121" w:type="dxa"/>
                  <w:tcBorders>
                    <w:left w:val="single" w:color="auto" w:sz="4" w:space="0"/>
                    <w:bottom w:val="single" w:color="auto" w:sz="4" w:space="0"/>
                    <w:right w:val="single" w:color="auto" w:sz="4" w:space="0"/>
                  </w:tcBorders>
                  <w:shd w:val="clear" w:color="auto" w:fill="FFFFFF" w:themeFill="background1"/>
                  <w:vAlign w:val="center"/>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color w:val="000000"/>
                      <w:kern w:val="0"/>
                      <w:szCs w:val="21"/>
                    </w:rPr>
                    <w:t>4</w:t>
                  </w:r>
                  <w:r>
                    <w:rPr>
                      <w:rFonts w:ascii="Times New Roman" w:hAnsi="Times New Roman" w:cs="Times New Roman"/>
                      <w:color w:val="000000"/>
                      <w:kern w:val="0"/>
                      <w:szCs w:val="21"/>
                    </w:rPr>
                    <w:t>.7</w:t>
                  </w:r>
                </w:p>
              </w:tc>
              <w:tc>
                <w:tcPr>
                  <w:tcW w:w="1388" w:type="dxa"/>
                  <w:tcBorders>
                    <w:top w:val="single" w:color="auto" w:sz="4" w:space="0"/>
                    <w:left w:val="single" w:color="auto" w:sz="4" w:space="0"/>
                    <w:bottom w:val="single" w:color="auto" w:sz="4" w:space="0"/>
                    <w:right w:val="single" w:color="auto" w:sz="4" w:space="0"/>
                  </w:tcBorders>
                  <w:shd w:val="clear" w:color="auto" w:fill="FFFFFF" w:themeFill="background1"/>
                </w:tcPr>
                <w:p>
                  <w:pPr>
                    <w:pStyle w:val="29"/>
                    <w:spacing w:line="240" w:lineRule="auto"/>
                    <w:ind w:firstLine="0"/>
                    <w:jc w:val="center"/>
                    <w:rPr>
                      <w:rFonts w:ascii="Times New Roman" w:hAnsi="Times New Roman" w:cs="Times New Roman"/>
                      <w:color w:val="000000"/>
                      <w:kern w:val="0"/>
                      <w:szCs w:val="21"/>
                    </w:rPr>
                  </w:pPr>
                  <w:r>
                    <w:rPr>
                      <w:rFonts w:hint="eastAsia" w:ascii="Times New Roman" w:hAnsi="Times New Roman" w:cs="Times New Roman"/>
                      <w:kern w:val="0"/>
                      <w:sz w:val="20"/>
                    </w:rPr>
                    <w:t>与环评一致</w:t>
                  </w:r>
                </w:p>
              </w:tc>
            </w:tr>
          </w:tbl>
          <w:p>
            <w:pPr>
              <w:spacing w:line="360" w:lineRule="auto"/>
              <w:ind w:firstLine="482" w:firstLineChars="200"/>
              <w:rPr>
                <w:rFonts w:ascii="Times New Roman" w:hAnsi="Times New Roman" w:eastAsia="宋体" w:cs="Times New Roman"/>
                <w:b/>
                <w:bCs/>
                <w:kern w:val="24"/>
                <w:sz w:val="24"/>
              </w:rPr>
            </w:pPr>
            <w:r>
              <w:rPr>
                <w:rFonts w:hint="eastAsia" w:ascii="Times New Roman" w:hAnsi="Times New Roman" w:eastAsia="宋体" w:cs="Times New Roman"/>
                <w:b/>
                <w:bCs/>
                <w:kern w:val="24"/>
                <w:sz w:val="24"/>
                <w:highlight w:val="yellow"/>
              </w:rPr>
              <w:t>注：</w:t>
            </w:r>
            <w:r>
              <w:rPr>
                <w:rFonts w:ascii="Times New Roman" w:hAnsi="Times New Roman" w:eastAsia="宋体" w:cs="Times New Roman"/>
                <w:b/>
                <w:bCs/>
                <w:kern w:val="24"/>
                <w:sz w:val="24"/>
                <w:highlight w:val="yellow"/>
              </w:rPr>
              <w:t>*</w:t>
            </w:r>
            <w:r>
              <w:rPr>
                <w:rFonts w:hint="eastAsia" w:ascii="Times New Roman" w:hAnsi="Times New Roman" w:eastAsia="宋体" w:cs="Times New Roman"/>
                <w:b/>
                <w:bCs/>
                <w:kern w:val="24"/>
                <w:sz w:val="24"/>
                <w:highlight w:val="yellow"/>
              </w:rPr>
              <w:t>水处理剂中包含P</w:t>
            </w:r>
            <w:r>
              <w:rPr>
                <w:rFonts w:ascii="Times New Roman" w:hAnsi="Times New Roman" w:eastAsia="宋体" w:cs="Times New Roman"/>
                <w:b/>
                <w:bCs/>
                <w:kern w:val="24"/>
                <w:sz w:val="24"/>
                <w:highlight w:val="yellow"/>
              </w:rPr>
              <w:t>AC</w:t>
            </w:r>
            <w:r>
              <w:rPr>
                <w:rFonts w:hint="eastAsia" w:ascii="Times New Roman" w:hAnsi="Times New Roman" w:eastAsia="宋体" w:cs="Times New Roman"/>
                <w:b/>
                <w:bCs/>
                <w:kern w:val="24"/>
                <w:sz w:val="24"/>
                <w:highlight w:val="yellow"/>
              </w:rPr>
              <w:t>、P</w:t>
            </w:r>
            <w:r>
              <w:rPr>
                <w:rFonts w:ascii="Times New Roman" w:hAnsi="Times New Roman" w:eastAsia="宋体" w:cs="Times New Roman"/>
                <w:b/>
                <w:bCs/>
                <w:kern w:val="24"/>
                <w:sz w:val="24"/>
                <w:highlight w:val="yellow"/>
              </w:rPr>
              <w:t>AM</w:t>
            </w:r>
            <w:r>
              <w:rPr>
                <w:rFonts w:hint="eastAsia" w:ascii="Times New Roman" w:hAnsi="Times New Roman" w:eastAsia="宋体" w:cs="Times New Roman"/>
                <w:b/>
                <w:bCs/>
                <w:kern w:val="24"/>
                <w:sz w:val="24"/>
                <w:highlight w:val="yellow"/>
              </w:rPr>
              <w:t>。</w:t>
            </w:r>
          </w:p>
          <w:p>
            <w:pPr>
              <w:spacing w:line="360" w:lineRule="auto"/>
              <w:ind w:firstLine="482" w:firstLineChars="200"/>
              <w:rPr>
                <w:rFonts w:ascii="Times New Roman" w:hAnsi="Times New Roman" w:eastAsia="宋体" w:cs="Times New Roman"/>
                <w:b/>
                <w:bCs/>
                <w:kern w:val="24"/>
                <w:sz w:val="24"/>
              </w:rPr>
            </w:pPr>
            <w:r>
              <w:rPr>
                <w:rFonts w:ascii="Times New Roman" w:hAnsi="Times New Roman" w:eastAsia="宋体" w:cs="Times New Roman"/>
                <w:b/>
                <w:bCs/>
                <w:kern w:val="24"/>
                <w:sz w:val="24"/>
              </w:rPr>
              <w:t>2.2</w:t>
            </w:r>
            <w:r>
              <w:rPr>
                <w:rFonts w:hint="eastAsia" w:ascii="Times New Roman" w:hAnsi="Times New Roman" w:eastAsia="宋体" w:cs="Times New Roman"/>
                <w:b/>
                <w:bCs/>
                <w:kern w:val="24"/>
                <w:sz w:val="24"/>
              </w:rPr>
              <w:t>、项目水平衡</w:t>
            </w:r>
          </w:p>
          <w:p>
            <w:pPr>
              <w:spacing w:line="360" w:lineRule="auto"/>
              <w:ind w:firstLine="480" w:firstLineChars="200"/>
              <w:rPr>
                <w:rFonts w:ascii="Times New Roman" w:hAnsi="Times New Roman" w:eastAsia="宋体" w:cs="Times New Roman"/>
                <w:kern w:val="24"/>
                <w:sz w:val="24"/>
              </w:rPr>
            </w:pPr>
            <w:r>
              <w:rPr>
                <w:rFonts w:ascii="Times New Roman" w:hAnsi="Times New Roman" w:eastAsia="宋体" w:cs="Times New Roman"/>
                <w:kern w:val="24"/>
                <w:sz w:val="24"/>
              </w:rPr>
              <w:t>本项目废水主要为员工生活废水、预处理工序阶段产生的生产废水。</w:t>
            </w:r>
            <w:r>
              <w:rPr>
                <w:rFonts w:hint="eastAsia" w:ascii="Times New Roman" w:hAnsi="Times New Roman" w:eastAsia="宋体" w:cs="Times New Roman"/>
                <w:kern w:val="24"/>
                <w:sz w:val="24"/>
              </w:rPr>
              <w:t>根据企业实际运行数据可知，本项目用水及排水情况如下：</w:t>
            </w:r>
          </w:p>
          <w:p>
            <w:pPr>
              <w:spacing w:line="360" w:lineRule="auto"/>
              <w:ind w:firstLine="480" w:firstLineChars="200"/>
              <w:rPr>
                <w:rFonts w:ascii="Times New Roman" w:hAnsi="Times New Roman" w:eastAsia="宋体" w:cs="Times New Roman"/>
                <w:kern w:val="24"/>
                <w:sz w:val="24"/>
              </w:rPr>
            </w:pPr>
            <w:r>
              <w:rPr>
                <w:rFonts w:hint="eastAsia" w:ascii="Times New Roman" w:hAnsi="Times New Roman" w:eastAsia="宋体" w:cs="Times New Roman"/>
                <w:kern w:val="24"/>
                <w:sz w:val="24"/>
              </w:rPr>
              <w:t>（1）生活污水</w:t>
            </w:r>
          </w:p>
          <w:p>
            <w:pPr>
              <w:spacing w:line="360" w:lineRule="auto"/>
              <w:ind w:firstLine="480" w:firstLineChars="200"/>
              <w:rPr>
                <w:rFonts w:ascii="Times New Roman" w:hAnsi="Times New Roman" w:eastAsia="宋体" w:cs="Times New Roman"/>
                <w:kern w:val="24"/>
                <w:sz w:val="24"/>
              </w:rPr>
            </w:pPr>
            <w:r>
              <w:rPr>
                <w:rFonts w:hint="eastAsia" w:ascii="Times New Roman" w:hAnsi="Times New Roman" w:eastAsia="宋体" w:cs="Times New Roman"/>
                <w:kern w:val="24"/>
                <w:sz w:val="24"/>
              </w:rPr>
              <w:t>其中项目共有职工</w:t>
            </w:r>
            <w:r>
              <w:rPr>
                <w:rFonts w:ascii="Times New Roman" w:hAnsi="Times New Roman" w:eastAsia="宋体" w:cs="Times New Roman"/>
                <w:kern w:val="24"/>
                <w:sz w:val="24"/>
              </w:rPr>
              <w:t>30人，员工用水量约为1000m</w:t>
            </w:r>
            <w:r>
              <w:rPr>
                <w:rFonts w:ascii="Times New Roman" w:hAnsi="Times New Roman" w:eastAsia="宋体" w:cs="Times New Roman"/>
                <w:kern w:val="24"/>
                <w:sz w:val="24"/>
                <w:vertAlign w:val="superscript"/>
              </w:rPr>
              <w:t>3</w:t>
            </w:r>
            <w:r>
              <w:rPr>
                <w:rFonts w:ascii="Times New Roman" w:hAnsi="Times New Roman" w:eastAsia="宋体" w:cs="Times New Roman"/>
                <w:kern w:val="24"/>
                <w:sz w:val="24"/>
              </w:rPr>
              <w:t>/a（按300天算）</w:t>
            </w:r>
            <w:r>
              <w:rPr>
                <w:rFonts w:hint="eastAsia" w:ascii="Times New Roman" w:hAnsi="Times New Roman" w:eastAsia="宋体" w:cs="Times New Roman"/>
                <w:kern w:val="24"/>
                <w:sz w:val="24"/>
              </w:rPr>
              <w:t>，</w:t>
            </w:r>
            <w:r>
              <w:rPr>
                <w:rFonts w:ascii="Times New Roman" w:hAnsi="Times New Roman" w:eastAsia="宋体" w:cs="Times New Roman"/>
                <w:kern w:val="24"/>
                <w:sz w:val="24"/>
              </w:rPr>
              <w:t>员工产生的生活污水量为800m</w:t>
            </w:r>
            <w:r>
              <w:rPr>
                <w:rFonts w:ascii="Times New Roman" w:hAnsi="Times New Roman" w:eastAsia="宋体" w:cs="Times New Roman"/>
                <w:kern w:val="24"/>
                <w:sz w:val="24"/>
                <w:vertAlign w:val="superscript"/>
              </w:rPr>
              <w:t>3</w:t>
            </w:r>
            <w:r>
              <w:rPr>
                <w:rFonts w:ascii="Times New Roman" w:hAnsi="Times New Roman" w:eastAsia="宋体" w:cs="Times New Roman"/>
                <w:kern w:val="24"/>
                <w:sz w:val="24"/>
              </w:rPr>
              <w:t>/a</w:t>
            </w:r>
            <w:r>
              <w:rPr>
                <w:rFonts w:hint="eastAsia" w:ascii="Times New Roman" w:hAnsi="Times New Roman" w:eastAsia="宋体" w:cs="Times New Roman"/>
                <w:kern w:val="24"/>
                <w:sz w:val="24"/>
              </w:rPr>
              <w:t>。</w:t>
            </w:r>
          </w:p>
          <w:p>
            <w:pPr>
              <w:spacing w:line="360" w:lineRule="auto"/>
              <w:ind w:firstLine="480" w:firstLineChars="200"/>
              <w:rPr>
                <w:rFonts w:ascii="Times New Roman" w:hAnsi="Times New Roman" w:eastAsia="宋体" w:cs="Times New Roman"/>
                <w:kern w:val="24"/>
                <w:sz w:val="24"/>
              </w:rPr>
            </w:pPr>
            <w:r>
              <w:rPr>
                <w:rFonts w:hint="eastAsia" w:ascii="Times New Roman" w:hAnsi="Times New Roman" w:eastAsia="宋体" w:cs="Times New Roman"/>
                <w:kern w:val="24"/>
                <w:sz w:val="24"/>
              </w:rPr>
              <w:t>（2）生产废水</w:t>
            </w:r>
          </w:p>
          <w:p>
            <w:pPr>
              <w:spacing w:line="360" w:lineRule="auto"/>
              <w:ind w:firstLine="480" w:firstLineChars="200"/>
              <w:rPr>
                <w:rFonts w:ascii="Times New Roman" w:hAnsi="Times New Roman" w:eastAsia="宋体" w:cs="Times New Roman"/>
                <w:kern w:val="24"/>
                <w:sz w:val="24"/>
              </w:rPr>
            </w:pPr>
            <w:r>
              <w:rPr>
                <w:rFonts w:hint="eastAsia" w:ascii="Times New Roman" w:hAnsi="Times New Roman" w:eastAsia="宋体" w:cs="Times New Roman"/>
                <w:kern w:val="24"/>
                <w:sz w:val="24"/>
              </w:rPr>
              <w:t>本项目预处理工序阶段会产生废水，预处理工序有两个清洗槽，每个清洗槽水量为</w:t>
            </w:r>
            <w:r>
              <w:rPr>
                <w:rFonts w:ascii="Times New Roman" w:hAnsi="Times New Roman" w:eastAsia="宋体" w:cs="Times New Roman"/>
                <w:kern w:val="24"/>
                <w:sz w:val="24"/>
              </w:rPr>
              <w:t>1.2m</w:t>
            </w:r>
            <w:r>
              <w:rPr>
                <w:rFonts w:ascii="Times New Roman" w:hAnsi="Times New Roman" w:eastAsia="宋体" w:cs="Times New Roman"/>
                <w:kern w:val="24"/>
                <w:sz w:val="24"/>
                <w:vertAlign w:val="superscript"/>
              </w:rPr>
              <w:t>3</w:t>
            </w:r>
            <w:r>
              <w:rPr>
                <w:rFonts w:ascii="Times New Roman" w:hAnsi="Times New Roman" w:eastAsia="宋体" w:cs="Times New Roman"/>
                <w:kern w:val="24"/>
                <w:sz w:val="24"/>
              </w:rPr>
              <w:t>，正常生产过程中每天共需更换10次清洗水，则可知本项目每天清洗水废水量为12m</w:t>
            </w:r>
            <w:r>
              <w:rPr>
                <w:rFonts w:ascii="Times New Roman" w:hAnsi="Times New Roman" w:eastAsia="宋体" w:cs="Times New Roman"/>
                <w:kern w:val="24"/>
                <w:sz w:val="24"/>
                <w:vertAlign w:val="superscript"/>
              </w:rPr>
              <w:t>3</w:t>
            </w:r>
            <w:r>
              <w:rPr>
                <w:rFonts w:ascii="Times New Roman" w:hAnsi="Times New Roman" w:eastAsia="宋体" w:cs="Times New Roman"/>
                <w:kern w:val="24"/>
                <w:sz w:val="24"/>
              </w:rPr>
              <w:t>/d</w:t>
            </w:r>
            <w:r>
              <w:rPr>
                <w:rFonts w:hint="eastAsia" w:ascii="Times New Roman" w:hAnsi="Times New Roman" w:eastAsia="宋体" w:cs="Times New Roman"/>
                <w:kern w:val="24"/>
                <w:sz w:val="24"/>
              </w:rPr>
              <w:t>；磷化槽水量约为</w:t>
            </w:r>
            <w:r>
              <w:rPr>
                <w:rFonts w:ascii="Times New Roman" w:hAnsi="Times New Roman" w:eastAsia="宋体" w:cs="Times New Roman"/>
                <w:kern w:val="24"/>
                <w:sz w:val="24"/>
              </w:rPr>
              <w:t>1.3m</w:t>
            </w:r>
            <w:r>
              <w:rPr>
                <w:rFonts w:ascii="Times New Roman" w:hAnsi="Times New Roman" w:eastAsia="宋体" w:cs="Times New Roman"/>
                <w:kern w:val="24"/>
                <w:sz w:val="24"/>
                <w:vertAlign w:val="superscript"/>
              </w:rPr>
              <w:t>3</w:t>
            </w:r>
            <w:r>
              <w:rPr>
                <w:rFonts w:ascii="Times New Roman" w:hAnsi="Times New Roman" w:eastAsia="宋体" w:cs="Times New Roman"/>
                <w:kern w:val="24"/>
                <w:sz w:val="24"/>
              </w:rPr>
              <w:t>，磷化槽个数为2个，每天排出三分之一废水进入污水处理站，其废水量约为0.4m</w:t>
            </w:r>
            <w:r>
              <w:rPr>
                <w:rFonts w:ascii="Times New Roman" w:hAnsi="Times New Roman" w:eastAsia="宋体" w:cs="Times New Roman"/>
                <w:kern w:val="24"/>
                <w:sz w:val="24"/>
                <w:vertAlign w:val="superscript"/>
              </w:rPr>
              <w:t>3</w:t>
            </w:r>
            <w:r>
              <w:rPr>
                <w:rFonts w:ascii="Times New Roman" w:hAnsi="Times New Roman" w:eastAsia="宋体" w:cs="Times New Roman"/>
                <w:kern w:val="24"/>
                <w:sz w:val="24"/>
              </w:rPr>
              <w:t>/个·d，此外每10天会将磷化槽清空，废水排入污水站，其废水量约为1.3m</w:t>
            </w:r>
            <w:r>
              <w:rPr>
                <w:rFonts w:ascii="Times New Roman" w:hAnsi="Times New Roman" w:eastAsia="宋体" w:cs="Times New Roman"/>
                <w:kern w:val="24"/>
                <w:sz w:val="24"/>
                <w:vertAlign w:val="superscript"/>
              </w:rPr>
              <w:t>3</w:t>
            </w:r>
            <w:r>
              <w:rPr>
                <w:rFonts w:ascii="Times New Roman" w:hAnsi="Times New Roman" w:eastAsia="宋体" w:cs="Times New Roman"/>
                <w:kern w:val="24"/>
                <w:sz w:val="24"/>
              </w:rPr>
              <w:t>/个·(10天)</w:t>
            </w:r>
            <w:r>
              <w:rPr>
                <w:rFonts w:hint="eastAsia" w:ascii="Times New Roman" w:hAnsi="Times New Roman" w:eastAsia="宋体" w:cs="Times New Roman"/>
                <w:kern w:val="24"/>
                <w:sz w:val="24"/>
              </w:rPr>
              <w:t>；本项目皂化槽水量约为</w:t>
            </w:r>
            <w:r>
              <w:rPr>
                <w:rFonts w:ascii="Times New Roman" w:hAnsi="Times New Roman" w:eastAsia="宋体" w:cs="Times New Roman"/>
                <w:kern w:val="24"/>
                <w:sz w:val="24"/>
              </w:rPr>
              <w:t>1.4m</w:t>
            </w:r>
            <w:r>
              <w:rPr>
                <w:rFonts w:ascii="Times New Roman" w:hAnsi="Times New Roman" w:eastAsia="宋体" w:cs="Times New Roman"/>
                <w:kern w:val="24"/>
                <w:sz w:val="24"/>
                <w:vertAlign w:val="superscript"/>
              </w:rPr>
              <w:t>3</w:t>
            </w:r>
            <w:r>
              <w:rPr>
                <w:rFonts w:ascii="Times New Roman" w:hAnsi="Times New Roman" w:eastAsia="宋体" w:cs="Times New Roman"/>
                <w:kern w:val="24"/>
                <w:sz w:val="24"/>
              </w:rPr>
              <w:t>，皂化槽个数为1个，根据企业提供资料，其皂化槽每15天更换一次，其废水全部进污水站，则废水量约为1.4m</w:t>
            </w:r>
            <w:r>
              <w:rPr>
                <w:rFonts w:ascii="Times New Roman" w:hAnsi="Times New Roman" w:eastAsia="宋体" w:cs="Times New Roman"/>
                <w:kern w:val="24"/>
                <w:sz w:val="24"/>
                <w:vertAlign w:val="superscript"/>
              </w:rPr>
              <w:t>3</w:t>
            </w:r>
            <w:r>
              <w:rPr>
                <w:rFonts w:ascii="Times New Roman" w:hAnsi="Times New Roman" w:eastAsia="宋体" w:cs="Times New Roman"/>
                <w:kern w:val="24"/>
                <w:sz w:val="24"/>
              </w:rPr>
              <w:t>/15天。</w:t>
            </w:r>
            <w:r>
              <w:rPr>
                <w:rFonts w:hint="eastAsia" w:ascii="Times New Roman" w:hAnsi="Times New Roman" w:eastAsia="宋体" w:cs="Times New Roman"/>
                <w:kern w:val="24"/>
                <w:sz w:val="24"/>
              </w:rPr>
              <w:t>企业共计生产</w:t>
            </w:r>
            <w:r>
              <w:rPr>
                <w:rFonts w:ascii="Times New Roman" w:hAnsi="Times New Roman" w:eastAsia="宋体" w:cs="Times New Roman"/>
                <w:kern w:val="24"/>
                <w:sz w:val="24"/>
              </w:rPr>
              <w:t>300天进行计算，综上可知，本项目生产废水量约为3900m</w:t>
            </w:r>
            <w:r>
              <w:rPr>
                <w:rFonts w:ascii="Times New Roman" w:hAnsi="Times New Roman" w:eastAsia="宋体" w:cs="Times New Roman"/>
                <w:kern w:val="24"/>
                <w:sz w:val="24"/>
                <w:vertAlign w:val="superscript"/>
              </w:rPr>
              <w:t>3/</w:t>
            </w:r>
            <w:r>
              <w:rPr>
                <w:rFonts w:ascii="Times New Roman" w:hAnsi="Times New Roman" w:eastAsia="宋体" w:cs="Times New Roman"/>
                <w:kern w:val="24"/>
                <w:sz w:val="24"/>
              </w:rPr>
              <w:t>a。</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（3）切削液配置用水</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本项目切削液使用前需进行调配，调配比为1:9，本项目切削液使用量为0.2t/a，则调配用水量为1.8t/a。</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（3）绿化用水</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sz w:val="24"/>
              </w:rPr>
              <w:t>本项目全厂绿化面积为2000m</w:t>
            </w:r>
            <w:r>
              <w:rPr>
                <w:rFonts w:ascii="Times New Roman" w:hAnsi="Times New Roman" w:eastAsia="宋体" w:cs="Times New Roman"/>
                <w:sz w:val="24"/>
                <w:vertAlign w:val="superscript"/>
              </w:rPr>
              <w:t>2</w:t>
            </w:r>
            <w:r>
              <w:rPr>
                <w:rFonts w:ascii="Times New Roman" w:hAnsi="Times New Roman" w:eastAsia="宋体" w:cs="Times New Roman"/>
                <w:sz w:val="24"/>
              </w:rPr>
              <w:t>，</w:t>
            </w:r>
            <w:r>
              <w:rPr>
                <w:rFonts w:hint="eastAsia" w:ascii="Times New Roman" w:hAnsi="Times New Roman" w:eastAsia="宋体" w:cs="Times New Roman"/>
                <w:sz w:val="24"/>
              </w:rPr>
              <w:t>绿化</w:t>
            </w:r>
            <w:r>
              <w:rPr>
                <w:rFonts w:ascii="Times New Roman" w:hAnsi="Times New Roman" w:eastAsia="宋体" w:cs="Times New Roman"/>
                <w:bCs/>
                <w:sz w:val="24"/>
              </w:rPr>
              <w:t>用水量约为2.6m</w:t>
            </w:r>
            <w:r>
              <w:rPr>
                <w:rFonts w:ascii="Times New Roman" w:hAnsi="Times New Roman" w:eastAsia="宋体" w:cs="Times New Roman"/>
                <w:bCs/>
                <w:sz w:val="24"/>
                <w:vertAlign w:val="superscript"/>
              </w:rPr>
              <w:t>3</w:t>
            </w:r>
            <w:r>
              <w:rPr>
                <w:rFonts w:ascii="Times New Roman" w:hAnsi="Times New Roman" w:eastAsia="宋体" w:cs="Times New Roman"/>
                <w:bCs/>
                <w:sz w:val="24"/>
              </w:rPr>
              <w:t>/d，浇洒时间按150d/a计，则年用水量390m</w:t>
            </w:r>
            <w:r>
              <w:rPr>
                <w:rFonts w:ascii="Times New Roman" w:hAnsi="Times New Roman" w:eastAsia="宋体" w:cs="Times New Roman"/>
                <w:bCs/>
                <w:sz w:val="24"/>
                <w:vertAlign w:val="superscript"/>
              </w:rPr>
              <w:t>3</w:t>
            </w:r>
            <w:r>
              <w:rPr>
                <w:rFonts w:ascii="Times New Roman" w:hAnsi="Times New Roman" w:eastAsia="宋体" w:cs="Times New Roman"/>
                <w:bCs/>
                <w:sz w:val="24"/>
              </w:rPr>
              <w:t>/a</w:t>
            </w:r>
            <w:r>
              <w:rPr>
                <w:rFonts w:hint="eastAsia" w:ascii="Times New Roman" w:hAnsi="Times New Roman" w:eastAsia="宋体" w:cs="Times New Roman"/>
                <w:bCs/>
                <w:sz w:val="24"/>
              </w:rPr>
              <w:t>。</w:t>
            </w:r>
          </w:p>
          <w:p>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全厂</w:t>
            </w:r>
            <w:r>
              <w:rPr>
                <w:rFonts w:hint="eastAsia" w:ascii="Times New Roman" w:hAnsi="Times New Roman" w:eastAsia="宋体" w:cs="Times New Roman"/>
                <w:color w:val="000000"/>
                <w:sz w:val="24"/>
              </w:rPr>
              <w:t>实际</w:t>
            </w:r>
            <w:r>
              <w:rPr>
                <w:rFonts w:ascii="Times New Roman" w:hAnsi="Times New Roman" w:eastAsia="宋体" w:cs="Times New Roman"/>
                <w:color w:val="000000"/>
                <w:sz w:val="24"/>
              </w:rPr>
              <w:t>水量平衡图见下。</w:t>
            </w:r>
          </w:p>
          <w:p>
            <w:pPr>
              <w:spacing w:line="360" w:lineRule="auto"/>
              <w:jc w:val="center"/>
              <w:rPr>
                <w:rFonts w:ascii="Times New Roman" w:hAnsi="Times New Roman" w:eastAsia="宋体" w:cs="Times New Roman"/>
                <w:szCs w:val="21"/>
              </w:rPr>
            </w:pPr>
            <w:r>
              <w:rPr>
                <w:rFonts w:ascii="Times New Roman" w:hAnsi="Times New Roman" w:eastAsia="宋体" w:cs="Times New Roman"/>
              </w:rPr>
              <w:drawing>
                <wp:inline distT="0" distB="0" distL="0" distR="0">
                  <wp:extent cx="5247640" cy="25044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47640" cy="2504440"/>
                          </a:xfrm>
                          <a:prstGeom prst="rect">
                            <a:avLst/>
                          </a:prstGeom>
                          <a:noFill/>
                          <a:ln>
                            <a:noFill/>
                          </a:ln>
                        </pic:spPr>
                      </pic:pic>
                    </a:graphicData>
                  </a:graphic>
                </wp:inline>
              </w:drawing>
            </w:r>
          </w:p>
          <w:p>
            <w:pPr>
              <w:spacing w:line="360" w:lineRule="auto"/>
              <w:jc w:val="center"/>
              <w:rPr>
                <w:rFonts w:ascii="Times New Roman" w:hAnsi="Times New Roman" w:eastAsia="宋体" w:cs="Times New Roman"/>
                <w:b/>
                <w:sz w:val="24"/>
              </w:rPr>
            </w:pPr>
            <w:r>
              <w:rPr>
                <w:rFonts w:ascii="Times New Roman" w:hAnsi="Times New Roman" w:eastAsia="宋体" w:cs="Times New Roman"/>
                <w:b/>
                <w:sz w:val="24"/>
              </w:rPr>
              <w:t>图</w:t>
            </w:r>
            <w:r>
              <w:rPr>
                <w:rFonts w:hint="eastAsia" w:ascii="Times New Roman" w:hAnsi="Times New Roman" w:eastAsia="宋体" w:cs="Times New Roman"/>
                <w:b/>
                <w:sz w:val="24"/>
              </w:rPr>
              <w:t>2</w:t>
            </w:r>
            <w:r>
              <w:rPr>
                <w:rFonts w:ascii="Times New Roman" w:hAnsi="Times New Roman" w:eastAsia="宋体" w:cs="Times New Roman"/>
                <w:b/>
                <w:sz w:val="24"/>
              </w:rPr>
              <w:t>-4  全厂水量平衡图  单位（m</w:t>
            </w:r>
            <w:r>
              <w:rPr>
                <w:rFonts w:ascii="Times New Roman" w:hAnsi="Times New Roman" w:eastAsia="宋体" w:cs="Times New Roman"/>
                <w:b/>
                <w:sz w:val="24"/>
                <w:vertAlign w:val="superscript"/>
              </w:rPr>
              <w:t>3</w:t>
            </w:r>
            <w:r>
              <w:rPr>
                <w:rFonts w:ascii="Times New Roman" w:hAnsi="Times New Roman" w:eastAsia="宋体" w:cs="Times New Roman"/>
                <w:b/>
                <w:sz w:val="24"/>
              </w:rPr>
              <w:t>/a）</w:t>
            </w:r>
          </w:p>
          <w:p>
            <w:pPr>
              <w:pStyle w:val="8"/>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本项目全厂废水产生、处理及排放情况见表2-5</w:t>
            </w:r>
            <w:r>
              <w:rPr>
                <w:rFonts w:hint="eastAsia" w:ascii="Times New Roman" w:hAnsi="Times New Roman" w:cs="Times New Roman"/>
                <w:sz w:val="24"/>
                <w:szCs w:val="24"/>
              </w:rPr>
              <w:t>所示</w:t>
            </w:r>
            <w:r>
              <w:rPr>
                <w:rFonts w:ascii="Times New Roman" w:hAnsi="Times New Roman" w:cs="Times New Roman"/>
                <w:sz w:val="24"/>
                <w:szCs w:val="24"/>
              </w:rPr>
              <w:t>。</w:t>
            </w:r>
          </w:p>
          <w:p>
            <w:pPr>
              <w:spacing w:line="360" w:lineRule="auto"/>
              <w:jc w:val="center"/>
              <w:rPr>
                <w:rFonts w:ascii="Times New Roman" w:hAnsi="Times New Roman" w:eastAsia="宋体" w:cs="Times New Roman"/>
                <w:b/>
                <w:sz w:val="24"/>
              </w:rPr>
            </w:pPr>
            <w:r>
              <w:rPr>
                <w:rFonts w:ascii="Times New Roman" w:hAnsi="Times New Roman" w:eastAsia="宋体" w:cs="Times New Roman"/>
                <w:b/>
                <w:sz w:val="24"/>
              </w:rPr>
              <w:t>表</w:t>
            </w:r>
            <w:r>
              <w:rPr>
                <w:rFonts w:hint="eastAsia" w:ascii="Times New Roman" w:hAnsi="Times New Roman" w:eastAsia="宋体" w:cs="Times New Roman"/>
                <w:b/>
                <w:sz w:val="24"/>
              </w:rPr>
              <w:t>2</w:t>
            </w:r>
            <w:r>
              <w:rPr>
                <w:rFonts w:ascii="Times New Roman" w:hAnsi="Times New Roman" w:eastAsia="宋体" w:cs="Times New Roman"/>
                <w:b/>
                <w:sz w:val="24"/>
              </w:rPr>
              <w:t>-5  建设项目废水产生、处理及排放情况一栏表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0"/>
              <w:gridCol w:w="919"/>
              <w:gridCol w:w="871"/>
              <w:gridCol w:w="894"/>
              <w:gridCol w:w="867"/>
              <w:gridCol w:w="1177"/>
              <w:gridCol w:w="991"/>
              <w:gridCol w:w="1144"/>
              <w:gridCol w:w="894"/>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60"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废水种类</w:t>
                  </w:r>
                </w:p>
              </w:tc>
              <w:tc>
                <w:tcPr>
                  <w:tcW w:w="519"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废水量(m</w:t>
                  </w:r>
                  <w:r>
                    <w:rPr>
                      <w:rFonts w:ascii="Times New Roman" w:hAnsi="Times New Roman" w:eastAsia="宋体" w:cs="Times New Roman"/>
                      <w:b/>
                      <w:szCs w:val="21"/>
                      <w:vertAlign w:val="superscript"/>
                    </w:rPr>
                    <w:t>3</w:t>
                  </w:r>
                  <w:r>
                    <w:rPr>
                      <w:rFonts w:ascii="Times New Roman" w:hAnsi="Times New Roman" w:eastAsia="宋体" w:cs="Times New Roman"/>
                      <w:b/>
                      <w:szCs w:val="21"/>
                    </w:rPr>
                    <w:t>/a)</w:t>
                  </w:r>
                </w:p>
              </w:tc>
              <w:tc>
                <w:tcPr>
                  <w:tcW w:w="492"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污染物名称</w:t>
                  </w:r>
                </w:p>
              </w:tc>
              <w:tc>
                <w:tcPr>
                  <w:tcW w:w="995"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污染物产生量</w:t>
                  </w:r>
                </w:p>
              </w:tc>
              <w:tc>
                <w:tcPr>
                  <w:tcW w:w="665"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治理措施</w:t>
                  </w:r>
                </w:p>
              </w:tc>
              <w:tc>
                <w:tcPr>
                  <w:tcW w:w="1206" w:type="pct"/>
                  <w:gridSpan w:val="2"/>
                  <w:tcBorders>
                    <w:top w:val="single" w:color="auto" w:sz="4" w:space="0"/>
                    <w:left w:val="single" w:color="auto" w:sz="4" w:space="0"/>
                    <w:bottom w:val="nil"/>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污染物排放量</w:t>
                  </w:r>
                </w:p>
              </w:tc>
              <w:tc>
                <w:tcPr>
                  <w:tcW w:w="505"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接管标准(mg/L)</w:t>
                  </w:r>
                </w:p>
              </w:tc>
              <w:tc>
                <w:tcPr>
                  <w:tcW w:w="357"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60"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szCs w:val="21"/>
                    </w:rPr>
                  </w:pPr>
                </w:p>
              </w:tc>
              <w:tc>
                <w:tcPr>
                  <w:tcW w:w="519"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szCs w:val="21"/>
                    </w:rPr>
                  </w:pPr>
                </w:p>
              </w:tc>
              <w:tc>
                <w:tcPr>
                  <w:tcW w:w="492"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szCs w:val="21"/>
                    </w:rPr>
                  </w:pP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浓度(mg/L)</w:t>
                  </w: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产生量(t/a)</w:t>
                  </w:r>
                </w:p>
              </w:tc>
              <w:tc>
                <w:tcPr>
                  <w:tcW w:w="66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szCs w:val="21"/>
                    </w:rPr>
                  </w:pPr>
                </w:p>
              </w:tc>
              <w:tc>
                <w:tcPr>
                  <w:tcW w:w="5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浓度(mg/L)</w:t>
                  </w:r>
                </w:p>
              </w:tc>
              <w:tc>
                <w:tcPr>
                  <w:tcW w:w="6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排放量(t/a)</w:t>
                  </w:r>
                </w:p>
              </w:tc>
              <w:tc>
                <w:tcPr>
                  <w:tcW w:w="50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szCs w:val="21"/>
                    </w:rPr>
                  </w:pP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60" w:type="pct"/>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生活废水</w:t>
                  </w:r>
                </w:p>
              </w:tc>
              <w:tc>
                <w:tcPr>
                  <w:tcW w:w="519" w:type="pct"/>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800</w:t>
                  </w: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COD</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400</w:t>
                  </w: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0.32</w:t>
                  </w:r>
                </w:p>
              </w:tc>
              <w:tc>
                <w:tcPr>
                  <w:tcW w:w="665" w:type="pct"/>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化粪池</w:t>
                  </w:r>
                </w:p>
              </w:tc>
              <w:tc>
                <w:tcPr>
                  <w:tcW w:w="5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340</w:t>
                  </w:r>
                </w:p>
              </w:tc>
              <w:tc>
                <w:tcPr>
                  <w:tcW w:w="6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0.272</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500</w:t>
                  </w:r>
                </w:p>
              </w:tc>
              <w:tc>
                <w:tcPr>
                  <w:tcW w:w="357"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大丰经济开发区污水处理厂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6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519"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SS</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200</w:t>
                  </w: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0.16</w:t>
                  </w:r>
                </w:p>
              </w:tc>
              <w:tc>
                <w:tcPr>
                  <w:tcW w:w="665"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5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140</w:t>
                  </w:r>
                </w:p>
              </w:tc>
              <w:tc>
                <w:tcPr>
                  <w:tcW w:w="6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0.112</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400</w:t>
                  </w: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6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519"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NH</w:t>
                  </w:r>
                  <w:r>
                    <w:rPr>
                      <w:rFonts w:ascii="Times New Roman" w:hAnsi="Times New Roman" w:eastAsia="宋体" w:cs="Times New Roman"/>
                      <w:szCs w:val="21"/>
                      <w:vertAlign w:val="subscript"/>
                    </w:rPr>
                    <w:t>3</w:t>
                  </w:r>
                  <w:r>
                    <w:rPr>
                      <w:rFonts w:ascii="Times New Roman" w:hAnsi="Times New Roman" w:eastAsia="宋体" w:cs="Times New Roman"/>
                      <w:szCs w:val="21"/>
                    </w:rPr>
                    <w:t>-N</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25</w:t>
                  </w: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0.02</w:t>
                  </w:r>
                </w:p>
              </w:tc>
              <w:tc>
                <w:tcPr>
                  <w:tcW w:w="665"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5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25</w:t>
                  </w:r>
                </w:p>
              </w:tc>
              <w:tc>
                <w:tcPr>
                  <w:tcW w:w="6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0.02</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45</w:t>
                  </w: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6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519"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TP</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0.0032</w:t>
                  </w:r>
                </w:p>
              </w:tc>
              <w:tc>
                <w:tcPr>
                  <w:tcW w:w="665"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5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6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0.0032</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8</w:t>
                  </w: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60" w:type="pct"/>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生产废水</w:t>
                  </w:r>
                </w:p>
              </w:tc>
              <w:tc>
                <w:tcPr>
                  <w:tcW w:w="519" w:type="pct"/>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3900</w:t>
                  </w: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pH</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5~6</w:t>
                  </w: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w:t>
                  </w:r>
                </w:p>
              </w:tc>
              <w:tc>
                <w:tcPr>
                  <w:tcW w:w="665" w:type="pct"/>
                  <w:vMerge w:val="restart"/>
                  <w:tcBorders>
                    <w:top w:val="nil"/>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厂内污水站(调节池+反应器+斜管沉淀池+中间水池+锰砂过滤池)</w:t>
                  </w:r>
                </w:p>
              </w:tc>
              <w:tc>
                <w:tcPr>
                  <w:tcW w:w="5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6~9</w:t>
                  </w:r>
                </w:p>
              </w:tc>
              <w:tc>
                <w:tcPr>
                  <w:tcW w:w="6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6~9</w:t>
                  </w: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26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519"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COD</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800</w:t>
                  </w: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3.12</w:t>
                  </w:r>
                </w:p>
              </w:tc>
              <w:tc>
                <w:tcPr>
                  <w:tcW w:w="665"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highlight w:val="yellow"/>
                    </w:rPr>
                  </w:pPr>
                </w:p>
              </w:tc>
              <w:tc>
                <w:tcPr>
                  <w:tcW w:w="5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400</w:t>
                  </w:r>
                </w:p>
              </w:tc>
              <w:tc>
                <w:tcPr>
                  <w:tcW w:w="6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1.56</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500</w:t>
                  </w: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519"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SS</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400</w:t>
                  </w: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1.56</w:t>
                  </w:r>
                </w:p>
              </w:tc>
              <w:tc>
                <w:tcPr>
                  <w:tcW w:w="665"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highlight w:val="yellow"/>
                    </w:rPr>
                  </w:pPr>
                </w:p>
              </w:tc>
              <w:tc>
                <w:tcPr>
                  <w:tcW w:w="5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100</w:t>
                  </w:r>
                </w:p>
              </w:tc>
              <w:tc>
                <w:tcPr>
                  <w:tcW w:w="6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0.39</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400</w:t>
                  </w: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6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519"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TP</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45</w:t>
                  </w: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0.18</w:t>
                  </w:r>
                </w:p>
              </w:tc>
              <w:tc>
                <w:tcPr>
                  <w:tcW w:w="665"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highlight w:val="yellow"/>
                    </w:rPr>
                  </w:pPr>
                </w:p>
              </w:tc>
              <w:tc>
                <w:tcPr>
                  <w:tcW w:w="5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6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0.016</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8</w:t>
                  </w: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6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519"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Zn</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30</w:t>
                  </w: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0.12</w:t>
                  </w:r>
                </w:p>
              </w:tc>
              <w:tc>
                <w:tcPr>
                  <w:tcW w:w="665"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highlight w:val="yellow"/>
                    </w:rPr>
                  </w:pPr>
                </w:p>
              </w:tc>
              <w:tc>
                <w:tcPr>
                  <w:tcW w:w="5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6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0.008</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6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519"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LAS</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40</w:t>
                  </w: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0.16</w:t>
                  </w:r>
                </w:p>
              </w:tc>
              <w:tc>
                <w:tcPr>
                  <w:tcW w:w="665"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highlight w:val="yellow"/>
                    </w:rPr>
                  </w:pPr>
                </w:p>
              </w:tc>
              <w:tc>
                <w:tcPr>
                  <w:tcW w:w="5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6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0.019</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20</w:t>
                  </w: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60"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519"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c>
                <w:tcPr>
                  <w:tcW w:w="49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石油类</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30</w:t>
                  </w:r>
                </w:p>
              </w:tc>
              <w:tc>
                <w:tcPr>
                  <w:tcW w:w="489"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0.12</w:t>
                  </w:r>
                </w:p>
              </w:tc>
              <w:tc>
                <w:tcPr>
                  <w:tcW w:w="665" w:type="pct"/>
                  <w:vMerge w:val="continue"/>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highlight w:val="yellow"/>
                    </w:rPr>
                  </w:pPr>
                </w:p>
              </w:tc>
              <w:tc>
                <w:tcPr>
                  <w:tcW w:w="560"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64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color w:val="000000"/>
                      <w:szCs w:val="21"/>
                    </w:rPr>
                    <w:t>0.019</w:t>
                  </w:r>
                </w:p>
              </w:tc>
              <w:tc>
                <w:tcPr>
                  <w:tcW w:w="50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20</w:t>
                  </w:r>
                </w:p>
              </w:tc>
              <w:tc>
                <w:tcPr>
                  <w:tcW w:w="3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bCs/>
                      <w:szCs w:val="21"/>
                    </w:rPr>
                  </w:pPr>
                </w:p>
              </w:tc>
            </w:tr>
          </w:tbl>
          <w:p>
            <w:pPr>
              <w:spacing w:line="360" w:lineRule="auto"/>
              <w:rPr>
                <w:rFonts w:ascii="Times New Roman" w:hAnsi="Times New Roman" w:eastAsia="宋体" w:cs="Times New Roman"/>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14" w:type="dxa"/>
            <w:tcBorders>
              <w:right w:val="single" w:color="auto" w:sz="4" w:space="0"/>
            </w:tcBorders>
            <w:vAlign w:val="center"/>
          </w:tcPr>
          <w:p>
            <w:pPr>
              <w:spacing w:line="360" w:lineRule="auto"/>
              <w:jc w:val="left"/>
              <w:rPr>
                <w:rFonts w:ascii="Times New Roman" w:hAnsi="Times New Roman" w:eastAsia="宋体" w:cs="Times New Roman"/>
                <w:b/>
                <w:bCs/>
                <w:sz w:val="24"/>
              </w:rPr>
            </w:pPr>
            <w:r>
              <w:rPr>
                <w:rFonts w:ascii="Times New Roman" w:hAnsi="Times New Roman" w:eastAsia="宋体" w:cs="Times New Roman"/>
                <w:b/>
                <w:bCs/>
                <w:sz w:val="24"/>
              </w:rPr>
              <w:t>三、主要工艺流程及产污环节：</w:t>
            </w:r>
          </w:p>
          <w:p>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3.1</w:t>
            </w:r>
            <w:r>
              <w:rPr>
                <w:rFonts w:hint="eastAsia" w:ascii="Times New Roman" w:hAnsi="Times New Roman" w:eastAsia="宋体" w:cs="Times New Roman"/>
                <w:b/>
                <w:bCs/>
                <w:sz w:val="24"/>
              </w:rPr>
              <w:t>、本项目生产工艺</w:t>
            </w:r>
          </w:p>
          <w:p>
            <w:pPr>
              <w:jc w:val="center"/>
              <w:rPr>
                <w:szCs w:val="21"/>
              </w:rPr>
            </w:pPr>
            <w:r>
              <w:drawing>
                <wp:inline distT="0" distB="0" distL="0" distR="0">
                  <wp:extent cx="3379470" cy="679831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79470" cy="6798310"/>
                          </a:xfrm>
                          <a:prstGeom prst="rect">
                            <a:avLst/>
                          </a:prstGeom>
                          <a:noFill/>
                          <a:ln>
                            <a:noFill/>
                          </a:ln>
                        </pic:spPr>
                      </pic:pic>
                    </a:graphicData>
                  </a:graphic>
                </wp:inline>
              </w:drawing>
            </w:r>
          </w:p>
          <w:p>
            <w:pPr>
              <w:spacing w:line="360" w:lineRule="auto"/>
              <w:jc w:val="center"/>
              <w:rPr>
                <w:rFonts w:ascii="Times New Roman" w:hAnsi="Times New Roman" w:eastAsia="宋体" w:cs="Times New Roman"/>
                <w:b/>
                <w:sz w:val="24"/>
              </w:rPr>
            </w:pPr>
            <w:r>
              <w:rPr>
                <w:rFonts w:ascii="Times New Roman" w:hAnsi="Times New Roman" w:eastAsia="宋体" w:cs="Times New Roman"/>
                <w:b/>
                <w:sz w:val="24"/>
              </w:rPr>
              <w:t>图2-5  项目生产工艺流程及产排污情况图</w:t>
            </w:r>
          </w:p>
          <w:p>
            <w:pPr>
              <w:pStyle w:val="39"/>
              <w:spacing w:before="0" w:beforeAutospacing="0" w:afterLines="0" w:line="360" w:lineRule="auto"/>
              <w:ind w:firstLine="482" w:firstLineChars="200"/>
              <w:jc w:val="both"/>
              <w:outlineLvl w:val="9"/>
              <w:rPr>
                <w:rFonts w:ascii="Times New Roman" w:hAnsi="Times New Roman" w:cs="Times New Roman"/>
                <w:spacing w:val="0"/>
              </w:rPr>
            </w:pPr>
            <w:bookmarkStart w:id="4" w:name="_Hlk45653169"/>
            <w:r>
              <w:rPr>
                <w:rFonts w:ascii="Times New Roman" w:hAnsi="Times New Roman" w:cs="Times New Roman"/>
                <w:spacing w:val="0"/>
              </w:rPr>
              <w:t>工艺流程简述：</w:t>
            </w:r>
          </w:p>
          <w:p>
            <w:pPr>
              <w:pStyle w:val="39"/>
              <w:spacing w:before="0" w:beforeAutospacing="0" w:afterLines="0" w:line="360" w:lineRule="auto"/>
              <w:ind w:firstLine="480" w:firstLineChars="200"/>
              <w:jc w:val="both"/>
              <w:outlineLvl w:val="9"/>
              <w:rPr>
                <w:rFonts w:ascii="Times New Roman" w:hAnsi="Times New Roman" w:cs="Times New Roman"/>
                <w:spacing w:val="0"/>
              </w:rPr>
            </w:pPr>
            <w:r>
              <w:rPr>
                <w:rFonts w:ascii="Times New Roman" w:hAnsi="Times New Roman" w:cs="Times New Roman"/>
                <w:b w:val="0"/>
                <w:spacing w:val="0"/>
              </w:rPr>
              <w:t>（1）锯料：利用圆盘锯将钢材切割成小段的短料，便于后续的加工。切割过程中会产生金属废料。此过程中会产生金属废料（S1）和噪声（N）。</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2）退火：利用井式炉和中频炉（均为电加热）将材料缓慢加热至770℃，并保温4h，然后以适宜速度进行冷却，冷却至500℃左右，其过程在通入氮气保护的情况下进行升温和降温。目的是降低材料硬度和改善其切削加工性。此过程中会产生氧化皮废料（S2）。</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（3）一次抛丸：抛丸利用钢丸对材料表面进行冲击和切削作用，使材料的表面获得一定的清洁度。该过程中会产生抛丸粉尘（G1）、噪声（N）和废润滑油（S3）。</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（4）冲压：利用压力机和模具对材料施加外力，使之产生塑性变形或分离，从而获得所需材料的形状和尺寸的成形的加工方法。该过程中会产生金属废料（S4）、噪声（N）、废液压油（S5）和废润滑油（S6）。</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（5）回火：利用井式炉和中频炉（均为电加热）将材料加热至770℃，并保温4h，然后以适宜速度进行冷却，冷却至500℃左右，其过程在通入氮气保护的情况下进行升温和降温。此过程中会产生氧化皮废料（S7）。</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（6）二次抛丸：抛丸利用钢丸对材料表面进行冲击和切削作用，使材料的表面获得一定的清洁度。该过程中会产生抛丸粉尘（G2）、噪声（N）和废润滑油（S8）。</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7）预处理：先将材料置于配置好的磷酸盐溶液中进行处理，使得材料形成以磷酸盐沉淀物组成的晶粒状磷化膜，目的在于给予材料提供保护，在一定程度上防止金属被腐蚀。磷化处理之后将材料放置于皂化液中，将氧化膜的空隙进行填满，形成一层封闭薄膜，以提高膜的抗蚀性。其中磷化槽当每天使用后磷化剂含量不足时，放出三分之一的槽液进污水处理站，并于第二天使用前补充适量的磷化剂和水，保证其磷化液的正常使用。皂化液每隔15天进行更换。材料经过磷化、皂化反应后进入清洗槽进行清洗。清洗槽每三批次进行更换，更换的清洗槽废水进入厂区自建污水处理站。</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根据业主提供资料，磷化液每隔10天进行清空，废水进污水处理站进行处理，并清理产生的磷化渣，皂化液每隔15天进行清空，皂化液进入厂区自建排入污水站。</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综上，本项目预处理工艺会产生生产废水（W1）、磷化渣（S9）。</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其中磷化反应是一种化学与电化学反应形成磷酸盐化学转化膜的过程，其过程主要是由如下4个步骤组成：</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hint="eastAsia"/>
                <w:b w:val="0"/>
                <w:spacing w:val="0"/>
              </w:rPr>
              <w:t>①</w:t>
            </w:r>
            <w:r>
              <w:rPr>
                <w:rFonts w:ascii="Times New Roman" w:hAnsi="Times New Roman" w:cs="Times New Roman"/>
                <w:b w:val="0"/>
                <w:spacing w:val="0"/>
              </w:rPr>
              <w:t>酸的侵蚀使其工件金属表面H</w:t>
            </w:r>
            <w:r>
              <w:rPr>
                <w:rFonts w:ascii="Times New Roman" w:hAnsi="Times New Roman" w:cs="Times New Roman"/>
                <w:b w:val="0"/>
                <w:spacing w:val="0"/>
                <w:vertAlign w:val="superscript"/>
              </w:rPr>
              <w:t>+</w:t>
            </w:r>
            <w:r>
              <w:rPr>
                <w:rFonts w:ascii="Times New Roman" w:hAnsi="Times New Roman" w:cs="Times New Roman"/>
                <w:b w:val="0"/>
                <w:spacing w:val="0"/>
              </w:rPr>
              <w:t>浓度降低</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Fe-2e</w:t>
            </w:r>
            <w:r>
              <w:rPr>
                <w:rFonts w:ascii="Times New Roman" w:hAnsi="Times New Roman" w:cs="Times New Roman"/>
                <w:b w:val="0"/>
                <w:spacing w:val="0"/>
                <w:vertAlign w:val="superscript"/>
              </w:rPr>
              <w:t>-</w:t>
            </w:r>
            <w:r>
              <w:rPr>
                <w:rFonts w:ascii="Times New Roman" w:hAnsi="Times New Roman" w:cs="Times New Roman"/>
                <w:b w:val="0"/>
                <w:spacing w:val="0"/>
              </w:rPr>
              <w:t>→Fe</w:t>
            </w:r>
            <w:r>
              <w:rPr>
                <w:rFonts w:ascii="Times New Roman" w:hAnsi="Times New Roman" w:cs="Times New Roman"/>
                <w:b w:val="0"/>
                <w:spacing w:val="0"/>
                <w:vertAlign w:val="superscript"/>
              </w:rPr>
              <w:t>2+</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hint="eastAsia"/>
                <w:b w:val="0"/>
                <w:spacing w:val="0"/>
              </w:rPr>
              <w:t>②</w:t>
            </w:r>
            <w:r>
              <w:rPr>
                <w:rFonts w:ascii="Times New Roman" w:hAnsi="Times New Roman" w:cs="Times New Roman"/>
                <w:b w:val="0"/>
                <w:spacing w:val="0"/>
              </w:rPr>
              <w:t>磷酸根的多级离解</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H</w:t>
            </w:r>
            <w:r>
              <w:rPr>
                <w:rFonts w:ascii="Times New Roman" w:hAnsi="Times New Roman" w:cs="Times New Roman"/>
                <w:b w:val="0"/>
                <w:spacing w:val="0"/>
                <w:vertAlign w:val="subscript"/>
              </w:rPr>
              <w:t>3</w:t>
            </w:r>
            <w:r>
              <w:rPr>
                <w:rFonts w:ascii="Times New Roman" w:hAnsi="Times New Roman" w:cs="Times New Roman"/>
                <w:b w:val="0"/>
                <w:spacing w:val="0"/>
              </w:rPr>
              <w:t>PO</w:t>
            </w:r>
            <w:r>
              <w:rPr>
                <w:rFonts w:ascii="Times New Roman" w:hAnsi="Times New Roman" w:cs="Times New Roman"/>
                <w:b w:val="0"/>
                <w:spacing w:val="0"/>
                <w:vertAlign w:val="subscript"/>
              </w:rPr>
              <w:t>4</w:t>
            </w:r>
            <w:r>
              <w:rPr>
                <w:rFonts w:ascii="Times New Roman" w:hAnsi="Times New Roman" w:cs="Times New Roman"/>
                <w:b w:val="0"/>
                <w:spacing w:val="0"/>
              </w:rPr>
              <w:t>→H</w:t>
            </w:r>
            <w:r>
              <w:rPr>
                <w:rFonts w:ascii="Times New Roman" w:hAnsi="Times New Roman" w:cs="Times New Roman"/>
                <w:b w:val="0"/>
                <w:spacing w:val="0"/>
                <w:vertAlign w:val="subscript"/>
              </w:rPr>
              <w:t>2</w:t>
            </w:r>
            <w:r>
              <w:rPr>
                <w:rFonts w:ascii="Times New Roman" w:hAnsi="Times New Roman" w:cs="Times New Roman"/>
                <w:b w:val="0"/>
                <w:spacing w:val="0"/>
              </w:rPr>
              <w:t>PO</w:t>
            </w:r>
            <w:r>
              <w:rPr>
                <w:rFonts w:ascii="Times New Roman" w:hAnsi="Times New Roman" w:cs="Times New Roman"/>
                <w:b w:val="0"/>
                <w:spacing w:val="0"/>
                <w:vertAlign w:val="subscript"/>
              </w:rPr>
              <w:t>4</w:t>
            </w:r>
            <w:r>
              <w:rPr>
                <w:rFonts w:ascii="Times New Roman" w:hAnsi="Times New Roman" w:cs="Times New Roman"/>
                <w:b w:val="0"/>
                <w:spacing w:val="0"/>
                <w:vertAlign w:val="superscript"/>
              </w:rPr>
              <w:t>-</w:t>
            </w:r>
            <w:r>
              <w:rPr>
                <w:rFonts w:ascii="Times New Roman" w:hAnsi="Times New Roman" w:cs="Times New Roman"/>
                <w:b w:val="0"/>
                <w:spacing w:val="0"/>
              </w:rPr>
              <w:t>+H</w:t>
            </w:r>
            <w:r>
              <w:rPr>
                <w:rFonts w:ascii="Times New Roman" w:hAnsi="Times New Roman" w:cs="Times New Roman"/>
                <w:b w:val="0"/>
                <w:spacing w:val="0"/>
                <w:vertAlign w:val="superscript"/>
              </w:rPr>
              <w:t>+</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H</w:t>
            </w:r>
            <w:r>
              <w:rPr>
                <w:rFonts w:ascii="Times New Roman" w:hAnsi="Times New Roman" w:cs="Times New Roman"/>
                <w:b w:val="0"/>
                <w:spacing w:val="0"/>
                <w:vertAlign w:val="subscript"/>
              </w:rPr>
              <w:t>3</w:t>
            </w:r>
            <w:r>
              <w:rPr>
                <w:rFonts w:ascii="Times New Roman" w:hAnsi="Times New Roman" w:cs="Times New Roman"/>
                <w:b w:val="0"/>
                <w:spacing w:val="0"/>
              </w:rPr>
              <w:t>PO</w:t>
            </w:r>
            <w:r>
              <w:rPr>
                <w:rFonts w:ascii="Times New Roman" w:hAnsi="Times New Roman" w:cs="Times New Roman"/>
                <w:b w:val="0"/>
                <w:spacing w:val="0"/>
                <w:vertAlign w:val="subscript"/>
              </w:rPr>
              <w:t>4</w:t>
            </w:r>
            <w:r>
              <w:rPr>
                <w:rFonts w:ascii="Times New Roman" w:hAnsi="Times New Roman" w:cs="Times New Roman"/>
                <w:b w:val="0"/>
                <w:spacing w:val="0"/>
              </w:rPr>
              <w:t>→H</w:t>
            </w:r>
            <w:r>
              <w:rPr>
                <w:rFonts w:ascii="Times New Roman" w:hAnsi="Times New Roman" w:cs="Times New Roman"/>
                <w:b w:val="0"/>
                <w:spacing w:val="0"/>
                <w:vertAlign w:val="subscript"/>
              </w:rPr>
              <w:t>2</w:t>
            </w:r>
            <w:r>
              <w:rPr>
                <w:rFonts w:ascii="Times New Roman" w:hAnsi="Times New Roman" w:cs="Times New Roman"/>
                <w:b w:val="0"/>
                <w:spacing w:val="0"/>
              </w:rPr>
              <w:t>PO</w:t>
            </w:r>
            <w:r>
              <w:rPr>
                <w:rFonts w:ascii="Times New Roman" w:hAnsi="Times New Roman" w:cs="Times New Roman"/>
                <w:b w:val="0"/>
                <w:spacing w:val="0"/>
                <w:vertAlign w:val="subscript"/>
              </w:rPr>
              <w:t>4</w:t>
            </w:r>
            <w:r>
              <w:rPr>
                <w:rFonts w:ascii="Times New Roman" w:hAnsi="Times New Roman" w:cs="Times New Roman"/>
                <w:b w:val="0"/>
                <w:spacing w:val="0"/>
                <w:vertAlign w:val="superscript"/>
              </w:rPr>
              <w:t>2+</w:t>
            </w:r>
            <w:r>
              <w:rPr>
                <w:rFonts w:ascii="Times New Roman" w:hAnsi="Times New Roman" w:cs="Times New Roman"/>
                <w:b w:val="0"/>
                <w:spacing w:val="0"/>
              </w:rPr>
              <w:t>+2H</w:t>
            </w:r>
            <w:r>
              <w:rPr>
                <w:rFonts w:ascii="Times New Roman" w:hAnsi="Times New Roman" w:cs="Times New Roman"/>
                <w:b w:val="0"/>
                <w:spacing w:val="0"/>
                <w:vertAlign w:val="superscript"/>
              </w:rPr>
              <w:t>+</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H</w:t>
            </w:r>
            <w:r>
              <w:rPr>
                <w:rFonts w:ascii="Times New Roman" w:hAnsi="Times New Roman" w:cs="Times New Roman"/>
                <w:b w:val="0"/>
                <w:spacing w:val="0"/>
                <w:vertAlign w:val="subscript"/>
              </w:rPr>
              <w:t>3</w:t>
            </w:r>
            <w:r>
              <w:rPr>
                <w:rFonts w:ascii="Times New Roman" w:hAnsi="Times New Roman" w:cs="Times New Roman"/>
                <w:b w:val="0"/>
                <w:spacing w:val="0"/>
              </w:rPr>
              <w:t>PO</w:t>
            </w:r>
            <w:r>
              <w:rPr>
                <w:rFonts w:ascii="Times New Roman" w:hAnsi="Times New Roman" w:cs="Times New Roman"/>
                <w:b w:val="0"/>
                <w:spacing w:val="0"/>
                <w:vertAlign w:val="subscript"/>
              </w:rPr>
              <w:t>4</w:t>
            </w:r>
            <w:r>
              <w:rPr>
                <w:rFonts w:ascii="Times New Roman" w:hAnsi="Times New Roman" w:cs="Times New Roman"/>
                <w:b w:val="0"/>
                <w:spacing w:val="0"/>
              </w:rPr>
              <w:t>→H</w:t>
            </w:r>
            <w:r>
              <w:rPr>
                <w:rFonts w:ascii="Times New Roman" w:hAnsi="Times New Roman" w:cs="Times New Roman"/>
                <w:b w:val="0"/>
                <w:spacing w:val="0"/>
                <w:vertAlign w:val="subscript"/>
              </w:rPr>
              <w:t>2</w:t>
            </w:r>
            <w:r>
              <w:rPr>
                <w:rFonts w:ascii="Times New Roman" w:hAnsi="Times New Roman" w:cs="Times New Roman"/>
                <w:b w:val="0"/>
                <w:spacing w:val="0"/>
              </w:rPr>
              <w:t>PO</w:t>
            </w:r>
            <w:r>
              <w:rPr>
                <w:rFonts w:ascii="Times New Roman" w:hAnsi="Times New Roman" w:cs="Times New Roman"/>
                <w:b w:val="0"/>
                <w:spacing w:val="0"/>
                <w:vertAlign w:val="subscript"/>
              </w:rPr>
              <w:t>4</w:t>
            </w:r>
            <w:r>
              <w:rPr>
                <w:rFonts w:ascii="Times New Roman" w:hAnsi="Times New Roman" w:cs="Times New Roman"/>
                <w:b w:val="0"/>
                <w:spacing w:val="0"/>
                <w:vertAlign w:val="superscript"/>
              </w:rPr>
              <w:t>3+</w:t>
            </w:r>
            <w:r>
              <w:rPr>
                <w:rFonts w:ascii="Times New Roman" w:hAnsi="Times New Roman" w:cs="Times New Roman"/>
                <w:b w:val="0"/>
                <w:spacing w:val="0"/>
              </w:rPr>
              <w:t>+3H</w:t>
            </w:r>
            <w:r>
              <w:rPr>
                <w:rFonts w:ascii="Times New Roman" w:hAnsi="Times New Roman" w:cs="Times New Roman"/>
                <w:b w:val="0"/>
                <w:spacing w:val="0"/>
                <w:vertAlign w:val="superscript"/>
              </w:rPr>
              <w:t>+</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由于金属表面的H</w:t>
            </w:r>
            <w:r>
              <w:rPr>
                <w:rFonts w:ascii="Times New Roman" w:hAnsi="Times New Roman" w:cs="Times New Roman"/>
                <w:b w:val="0"/>
                <w:spacing w:val="0"/>
                <w:vertAlign w:val="superscript"/>
              </w:rPr>
              <w:t>+</w:t>
            </w:r>
            <w:r>
              <w:rPr>
                <w:rFonts w:ascii="Times New Roman" w:hAnsi="Times New Roman" w:cs="Times New Roman"/>
                <w:b w:val="0"/>
                <w:spacing w:val="0"/>
              </w:rPr>
              <w:t>浓度急剧降低，导致磷酸根各级离解平衡向右移动，最终为PO</w:t>
            </w:r>
            <w:r>
              <w:rPr>
                <w:rFonts w:ascii="Times New Roman" w:hAnsi="Times New Roman" w:cs="Times New Roman"/>
                <w:b w:val="0"/>
                <w:spacing w:val="0"/>
                <w:vertAlign w:val="subscript"/>
              </w:rPr>
              <w:t>4</w:t>
            </w:r>
            <w:r>
              <w:rPr>
                <w:rFonts w:ascii="Times New Roman" w:hAnsi="Times New Roman" w:cs="Times New Roman"/>
                <w:b w:val="0"/>
                <w:spacing w:val="0"/>
                <w:vertAlign w:val="superscript"/>
              </w:rPr>
              <w:t>3+</w:t>
            </w:r>
            <w:r>
              <w:rPr>
                <w:rFonts w:ascii="Times New Roman" w:hAnsi="Times New Roman" w:cs="Times New Roman"/>
                <w:b w:val="0"/>
                <w:spacing w:val="0"/>
              </w:rPr>
              <w:t>。</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hint="eastAsia"/>
                <w:b w:val="0"/>
                <w:spacing w:val="0"/>
              </w:rPr>
              <w:t>③</w:t>
            </w:r>
            <w:r>
              <w:rPr>
                <w:rFonts w:ascii="Times New Roman" w:hAnsi="Times New Roman" w:cs="Times New Roman"/>
                <w:b w:val="0"/>
                <w:spacing w:val="0"/>
              </w:rPr>
              <w:t>磷酸盐沉淀结晶成为磷化膜</w:t>
            </w:r>
          </w:p>
          <w:p>
            <w:pPr>
              <w:pStyle w:val="39"/>
              <w:spacing w:before="0" w:beforeAutospacing="0" w:afterLines="0" w:line="360" w:lineRule="auto"/>
              <w:ind w:firstLine="480" w:firstLineChars="200"/>
              <w:jc w:val="both"/>
              <w:outlineLvl w:val="9"/>
              <w:rPr>
                <w:rFonts w:ascii="Times New Roman" w:hAnsi="Times New Roman" w:cs="Times New Roman"/>
                <w:b w:val="0"/>
                <w:spacing w:val="0"/>
                <w:vertAlign w:val="superscript"/>
              </w:rPr>
            </w:pPr>
            <w:r>
              <w:rPr>
                <w:rFonts w:ascii="Times New Roman" w:hAnsi="Times New Roman" w:cs="Times New Roman"/>
                <w:b w:val="0"/>
                <w:spacing w:val="0"/>
              </w:rPr>
              <w:t>5Zn+10H</w:t>
            </w:r>
            <w:r>
              <w:rPr>
                <w:rFonts w:ascii="Times New Roman" w:hAnsi="Times New Roman" w:cs="Times New Roman"/>
                <w:b w:val="0"/>
                <w:spacing w:val="0"/>
                <w:vertAlign w:val="subscript"/>
              </w:rPr>
              <w:t>2</w:t>
            </w:r>
            <w:r>
              <w:rPr>
                <w:rFonts w:ascii="Times New Roman" w:hAnsi="Times New Roman" w:cs="Times New Roman"/>
                <w:b w:val="0"/>
                <w:spacing w:val="0"/>
              </w:rPr>
              <w:t>PO</w:t>
            </w:r>
            <w:r>
              <w:rPr>
                <w:rFonts w:ascii="Times New Roman" w:hAnsi="Times New Roman" w:cs="Times New Roman"/>
                <w:b w:val="0"/>
                <w:spacing w:val="0"/>
                <w:vertAlign w:val="subscript"/>
              </w:rPr>
              <w:t>4</w:t>
            </w:r>
            <w:r>
              <w:rPr>
                <w:rFonts w:ascii="Times New Roman" w:hAnsi="Times New Roman" w:cs="Times New Roman"/>
                <w:b w:val="0"/>
                <w:spacing w:val="0"/>
                <w:vertAlign w:val="superscript"/>
              </w:rPr>
              <w:t>-</w:t>
            </w:r>
            <w:r>
              <w:rPr>
                <w:rFonts w:ascii="Times New Roman" w:hAnsi="Times New Roman" w:cs="Times New Roman"/>
                <w:b w:val="0"/>
                <w:spacing w:val="0"/>
              </w:rPr>
              <w:t>→(Zn,Fe)</w:t>
            </w:r>
            <w:r>
              <w:rPr>
                <w:rFonts w:ascii="Times New Roman" w:hAnsi="Times New Roman" w:cs="Times New Roman"/>
                <w:b w:val="0"/>
                <w:spacing w:val="0"/>
                <w:vertAlign w:val="subscript"/>
              </w:rPr>
              <w:t>5</w:t>
            </w:r>
            <w:r>
              <w:rPr>
                <w:rFonts w:ascii="Times New Roman" w:hAnsi="Times New Roman" w:cs="Times New Roman"/>
                <w:b w:val="0"/>
                <w:spacing w:val="0"/>
              </w:rPr>
              <w:t>H</w:t>
            </w:r>
            <w:r>
              <w:rPr>
                <w:rFonts w:ascii="Times New Roman" w:hAnsi="Times New Roman" w:cs="Times New Roman"/>
                <w:b w:val="0"/>
                <w:spacing w:val="0"/>
                <w:vertAlign w:val="subscript"/>
              </w:rPr>
              <w:t>2</w:t>
            </w:r>
            <w:r>
              <w:rPr>
                <w:rFonts w:ascii="Times New Roman" w:hAnsi="Times New Roman" w:cs="Times New Roman"/>
                <w:b w:val="0"/>
                <w:spacing w:val="0"/>
              </w:rPr>
              <w:t>(PO</w:t>
            </w:r>
            <w:r>
              <w:rPr>
                <w:rFonts w:ascii="Times New Roman" w:hAnsi="Times New Roman" w:cs="Times New Roman"/>
                <w:b w:val="0"/>
                <w:spacing w:val="0"/>
                <w:vertAlign w:val="subscript"/>
              </w:rPr>
              <w:t>4</w:t>
            </w:r>
            <w:r>
              <w:rPr>
                <w:rFonts w:ascii="Times New Roman" w:hAnsi="Times New Roman" w:cs="Times New Roman"/>
                <w:b w:val="0"/>
                <w:spacing w:val="0"/>
              </w:rPr>
              <w:t>)</w:t>
            </w:r>
            <w:r>
              <w:rPr>
                <w:rFonts w:ascii="Times New Roman" w:hAnsi="Times New Roman" w:cs="Times New Roman"/>
                <w:b w:val="0"/>
                <w:spacing w:val="0"/>
                <w:vertAlign w:val="subscript"/>
              </w:rPr>
              <w:t>4</w:t>
            </w:r>
            <w:r>
              <w:rPr>
                <w:rFonts w:ascii="Times New Roman" w:hAnsi="Times New Roman" w:cs="Times New Roman"/>
                <w:b w:val="0"/>
                <w:spacing w:val="0"/>
              </w:rPr>
              <w:t>+6H</w:t>
            </w:r>
            <w:r>
              <w:rPr>
                <w:rFonts w:ascii="Times New Roman" w:hAnsi="Times New Roman" w:cs="Times New Roman"/>
                <w:b w:val="0"/>
                <w:spacing w:val="0"/>
                <w:vertAlign w:val="superscript"/>
              </w:rPr>
              <w:t>+</w:t>
            </w:r>
            <w:r>
              <w:rPr>
                <w:rFonts w:ascii="Times New Roman" w:hAnsi="Times New Roman" w:cs="Times New Roman"/>
                <w:b w:val="0"/>
                <w:spacing w:val="0"/>
              </w:rPr>
              <w:t>+6H</w:t>
            </w:r>
            <w:r>
              <w:rPr>
                <w:rFonts w:ascii="Times New Roman" w:hAnsi="Times New Roman" w:cs="Times New Roman"/>
                <w:b w:val="0"/>
                <w:spacing w:val="0"/>
                <w:vertAlign w:val="subscript"/>
              </w:rPr>
              <w:t>2</w:t>
            </w:r>
            <w:r>
              <w:rPr>
                <w:rFonts w:ascii="Times New Roman" w:hAnsi="Times New Roman" w:cs="Times New Roman"/>
                <w:b w:val="0"/>
                <w:spacing w:val="0"/>
              </w:rPr>
              <w:t>PO</w:t>
            </w:r>
            <w:r>
              <w:rPr>
                <w:rFonts w:ascii="Times New Roman" w:hAnsi="Times New Roman" w:cs="Times New Roman"/>
                <w:b w:val="0"/>
                <w:spacing w:val="0"/>
                <w:vertAlign w:val="subscript"/>
              </w:rPr>
              <w:t>4</w:t>
            </w:r>
            <w:r>
              <w:rPr>
                <w:rFonts w:ascii="Times New Roman" w:hAnsi="Times New Roman" w:cs="Times New Roman"/>
                <w:b w:val="0"/>
                <w:spacing w:val="0"/>
                <w:vertAlign w:val="superscript"/>
              </w:rPr>
              <w:t>-</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hint="eastAsia"/>
                <w:b w:val="0"/>
                <w:spacing w:val="0"/>
              </w:rPr>
              <w:t>④</w:t>
            </w:r>
            <w:r>
              <w:rPr>
                <w:rFonts w:ascii="Times New Roman" w:hAnsi="Times New Roman" w:cs="Times New Roman"/>
                <w:b w:val="0"/>
                <w:spacing w:val="0"/>
              </w:rPr>
              <w:t>磷酸盐沉淀的副反应是形成磷化渣</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3Zn</w:t>
            </w:r>
            <w:r>
              <w:rPr>
                <w:rFonts w:ascii="Times New Roman" w:hAnsi="Times New Roman" w:cs="Times New Roman"/>
                <w:b w:val="0"/>
                <w:spacing w:val="0"/>
                <w:vertAlign w:val="superscript"/>
              </w:rPr>
              <w:t>2+</w:t>
            </w:r>
            <w:r>
              <w:rPr>
                <w:rFonts w:ascii="Times New Roman" w:hAnsi="Times New Roman" w:cs="Times New Roman"/>
                <w:b w:val="0"/>
                <w:spacing w:val="0"/>
              </w:rPr>
              <w:t>+2PO</w:t>
            </w:r>
            <w:r>
              <w:rPr>
                <w:rFonts w:ascii="Times New Roman" w:hAnsi="Times New Roman" w:cs="Times New Roman"/>
                <w:b w:val="0"/>
                <w:spacing w:val="0"/>
                <w:vertAlign w:val="subscript"/>
              </w:rPr>
              <w:t>4</w:t>
            </w:r>
            <w:r>
              <w:rPr>
                <w:rFonts w:ascii="Times New Roman" w:hAnsi="Times New Roman" w:cs="Times New Roman"/>
                <w:b w:val="0"/>
                <w:spacing w:val="0"/>
                <w:vertAlign w:val="superscript"/>
              </w:rPr>
              <w:t>3-</w:t>
            </w:r>
            <w:r>
              <w:rPr>
                <w:rFonts w:ascii="Times New Roman" w:hAnsi="Times New Roman" w:cs="Times New Roman"/>
                <w:b w:val="0"/>
                <w:spacing w:val="0"/>
              </w:rPr>
              <w:t>→Zn</w:t>
            </w:r>
            <w:r>
              <w:rPr>
                <w:rFonts w:ascii="Times New Roman" w:hAnsi="Times New Roman" w:cs="Times New Roman"/>
                <w:b w:val="0"/>
                <w:spacing w:val="0"/>
                <w:vertAlign w:val="subscript"/>
              </w:rPr>
              <w:t>3</w:t>
            </w:r>
            <w:r>
              <w:rPr>
                <w:rFonts w:ascii="Times New Roman" w:hAnsi="Times New Roman" w:cs="Times New Roman"/>
                <w:b w:val="0"/>
                <w:spacing w:val="0"/>
              </w:rPr>
              <w:t>(PO</w:t>
            </w:r>
            <w:r>
              <w:rPr>
                <w:rFonts w:ascii="Times New Roman" w:hAnsi="Times New Roman" w:cs="Times New Roman"/>
                <w:b w:val="0"/>
                <w:spacing w:val="0"/>
                <w:vertAlign w:val="subscript"/>
              </w:rPr>
              <w:t>4</w:t>
            </w:r>
            <w:r>
              <w:rPr>
                <w:rFonts w:ascii="Times New Roman" w:hAnsi="Times New Roman" w:cs="Times New Roman"/>
                <w:b w:val="0"/>
                <w:spacing w:val="0"/>
              </w:rPr>
              <w:t>)</w:t>
            </w:r>
            <w:r>
              <w:rPr>
                <w:rFonts w:ascii="Times New Roman" w:hAnsi="Times New Roman" w:cs="Times New Roman"/>
                <w:b w:val="0"/>
                <w:spacing w:val="0"/>
                <w:vertAlign w:val="subscript"/>
              </w:rPr>
              <w:t>2</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（8）成形：利用压力机和模具对材料施加外力，使材料达到预计需要的外形。该过程中会产生金属废料（S10）、噪声（N）、废液压油（S11）和废润滑油（S12）。</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9）喷砂：利用高速砂流的冲击作用清理和粗化基体表面的过程。采用压缩空气为动力，以形成高速喷射束将喷料高速喷射到需要处理的工件表面，使材料表面的外表面的外表或形状发生变化，由于磨料对材料表面的冲击和切削作用，使材料的表面获得一定的清洁度和不同的粗糙度。该过程中会产生喷砂粉尘（G3）、噪声（N）和废润滑油（S13）。</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（10）三次抛丸：抛丸利用钢丸对材料表面进行冲击和切削作用，使材料的表面获得一定的清洁度。该过程中会产生抛丸粉尘（G4）、噪声（N）和废润滑油（S14）。</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（11）机加工：通过数控机床对材料进行进一步的精细加工。该过程中会产生金属废料（S15）和废切削液（S16）。</w:t>
            </w:r>
          </w:p>
          <w:p>
            <w:pPr>
              <w:pStyle w:val="39"/>
              <w:spacing w:before="0" w:beforeAutospacing="0" w:afterLines="0" w:line="360" w:lineRule="auto"/>
              <w:ind w:firstLine="480" w:firstLineChars="200"/>
              <w:jc w:val="both"/>
              <w:outlineLvl w:val="9"/>
              <w:rPr>
                <w:rFonts w:ascii="Times New Roman" w:hAnsi="Times New Roman" w:cs="Times New Roman"/>
                <w:b w:val="0"/>
                <w:spacing w:val="0"/>
              </w:rPr>
            </w:pPr>
            <w:r>
              <w:rPr>
                <w:rFonts w:ascii="Times New Roman" w:hAnsi="Times New Roman" w:cs="Times New Roman"/>
                <w:b w:val="0"/>
                <w:spacing w:val="0"/>
              </w:rPr>
              <w:t>（12）成品包装：将加工完毕的成品进行打包包装。</w:t>
            </w:r>
          </w:p>
          <w:p>
            <w:pPr>
              <w:spacing w:line="360" w:lineRule="auto"/>
              <w:rPr>
                <w:rFonts w:ascii="Times New Roman" w:hAnsi="Times New Roman" w:eastAsia="宋体" w:cs="Times New Roman"/>
                <w:color w:val="000000" w:themeColor="text1"/>
                <w:sz w:val="24"/>
                <w14:textFill>
                  <w14:solidFill>
                    <w14:schemeClr w14:val="tx1"/>
                  </w14:solidFill>
                </w14:textFill>
              </w:rPr>
            </w:pP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p>
          <w:bookmarkEnd w:id="4"/>
          <w:p>
            <w:pPr>
              <w:spacing w:line="360" w:lineRule="auto"/>
              <w:rPr>
                <w:rFonts w:ascii="Times New Roman" w:hAnsi="Times New Roman" w:cs="Times New Roman"/>
                <w:b/>
                <w:bCs/>
                <w:color w:val="00B0F0"/>
                <w:sz w:val="24"/>
                <w:highlight w:val="cyan"/>
              </w:rPr>
            </w:pPr>
          </w:p>
        </w:tc>
      </w:tr>
    </w:tbl>
    <w:p>
      <w:pPr>
        <w:outlineLvl w:val="0"/>
        <w:rPr>
          <w:rFonts w:ascii="Times New Roman" w:hAnsi="Times New Roman" w:eastAsia="宋体" w:cs="Times New Roman"/>
          <w:b/>
          <w:bCs/>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outlineLvl w:val="0"/>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表三 环境保护设施与措施</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14" w:type="dxa"/>
            <w:vAlign w:val="center"/>
          </w:tcPr>
          <w:p>
            <w:pPr>
              <w:spacing w:line="360" w:lineRule="auto"/>
              <w:rPr>
                <w:rFonts w:ascii="Times New Roman" w:hAnsi="Times New Roman" w:eastAsia="宋体" w:cs="Times New Roman"/>
                <w:b/>
                <w:bCs/>
                <w:sz w:val="24"/>
              </w:rPr>
            </w:pPr>
            <w:r>
              <w:rPr>
                <w:rFonts w:ascii="Times New Roman" w:hAnsi="Times New Roman" w:eastAsia="宋体" w:cs="Times New Roman"/>
                <w:b/>
                <w:bCs/>
                <w:sz w:val="24"/>
              </w:rPr>
              <w:t>一、主要污染源、污染物处理和排放：</w:t>
            </w:r>
          </w:p>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（1）</w:t>
            </w:r>
            <w:r>
              <w:rPr>
                <w:rFonts w:ascii="Times New Roman" w:hAnsi="Times New Roman" w:eastAsia="宋体" w:cs="Times New Roman"/>
                <w:b/>
                <w:bCs/>
                <w:sz w:val="24"/>
              </w:rPr>
              <w:t>废水</w:t>
            </w:r>
            <w:r>
              <w:rPr>
                <w:rFonts w:hint="eastAsia" w:ascii="Times New Roman" w:hAnsi="Times New Roman" w:eastAsia="宋体" w:cs="Times New Roman"/>
                <w:b/>
                <w:bCs/>
                <w:sz w:val="24"/>
              </w:rPr>
              <w:t>污染防治措施建设情况</w:t>
            </w:r>
          </w:p>
          <w:p>
            <w:pPr>
              <w:pStyle w:val="4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运营期</w:t>
            </w:r>
            <w:r>
              <w:rPr>
                <w:rFonts w:hint="eastAsia" w:ascii="Times New Roman" w:hAnsi="Times New Roman" w:cs="Times New Roman"/>
                <w:bCs/>
                <w:sz w:val="24"/>
                <w:szCs w:val="24"/>
              </w:rPr>
              <w:t>废水</w:t>
            </w:r>
            <w:r>
              <w:rPr>
                <w:rFonts w:ascii="Times New Roman" w:hAnsi="Times New Roman" w:cs="Times New Roman"/>
                <w:bCs/>
                <w:sz w:val="24"/>
                <w:szCs w:val="24"/>
              </w:rPr>
              <w:t>主要为生活废水和生产废水。生活废水经化粪池处理，生产废水经厂区自建污水站处理后，通过市政管网排入盐城市大丰经济开发区污水处理厂集中处理</w:t>
            </w:r>
            <w:r>
              <w:rPr>
                <w:rFonts w:hint="eastAsia" w:ascii="Times New Roman" w:hAnsi="Times New Roman" w:cs="Times New Roman"/>
                <w:bCs/>
                <w:sz w:val="24"/>
                <w:szCs w:val="24"/>
              </w:rPr>
              <w:t>。</w:t>
            </w:r>
            <w:r>
              <w:rPr>
                <w:rFonts w:ascii="Times New Roman" w:hAnsi="Times New Roman" w:cs="Times New Roman"/>
                <w:spacing w:val="14"/>
                <w:sz w:val="24"/>
              </w:rPr>
              <w:t>污水处理站设计方案委托宜兴市环发环保设计有限公司设计，</w:t>
            </w:r>
            <w:r>
              <w:rPr>
                <w:rFonts w:ascii="Times New Roman" w:hAnsi="Times New Roman" w:cs="Times New Roman"/>
                <w:snapToGrid w:val="0"/>
                <w:kern w:val="0"/>
                <w:sz w:val="24"/>
              </w:rPr>
              <w:t>厂区自建污水处理站的工艺流程图详见图3-1。</w:t>
            </w:r>
          </w:p>
          <w:p>
            <w:pPr>
              <w:pStyle w:val="40"/>
              <w:spacing w:line="360" w:lineRule="auto"/>
              <w:ind w:firstLine="420" w:firstLineChars="200"/>
            </w:pPr>
            <w:r>
              <w:object>
                <v:shape id="_x0000_i1025" o:spt="75" type="#_x0000_t75" style="height:159.65pt;width:407.6pt;" o:ole="t" filled="f" o:preferrelative="t" stroked="f" coordsize="21600,21600">
                  <v:path/>
                  <v:fill on="f" focussize="0,0"/>
                  <v:stroke on="f" joinstyle="miter"/>
                  <v:imagedata r:id="rId12" o:title=""/>
                  <o:lock v:ext="edit" aspectratio="t"/>
                  <w10:wrap type="none"/>
                  <w10:anchorlock/>
                </v:shape>
                <o:OLEObject Type="Embed" ProgID="Visio.Drawing.15" ShapeID="_x0000_i1025" DrawAspect="Content" ObjectID="_1468075725" r:id="rId11">
                  <o:LockedField>false</o:LockedField>
                </o:OLEObject>
              </w:object>
            </w:r>
          </w:p>
          <w:p>
            <w:pPr>
              <w:suppressAutoHyphens/>
              <w:adjustRightInd w:val="0"/>
              <w:snapToGrid w:val="0"/>
              <w:spacing w:line="360" w:lineRule="auto"/>
              <w:jc w:val="center"/>
              <w:rPr>
                <w:rFonts w:ascii="Times New Roman" w:hAnsi="Times New Roman" w:eastAsia="宋体" w:cs="Times New Roman"/>
                <w:b/>
                <w:bCs/>
                <w:snapToGrid w:val="0"/>
                <w:kern w:val="0"/>
                <w:sz w:val="24"/>
              </w:rPr>
            </w:pPr>
            <w:r>
              <w:rPr>
                <w:rFonts w:ascii="Times New Roman" w:hAnsi="Times New Roman" w:eastAsia="宋体" w:cs="Times New Roman"/>
                <w:b/>
                <w:bCs/>
                <w:snapToGrid w:val="0"/>
                <w:kern w:val="0"/>
                <w:sz w:val="24"/>
              </w:rPr>
              <w:t>图</w:t>
            </w:r>
            <w:r>
              <w:rPr>
                <w:rFonts w:hint="eastAsia" w:ascii="Times New Roman" w:hAnsi="Times New Roman" w:eastAsia="宋体" w:cs="Times New Roman"/>
                <w:b/>
                <w:bCs/>
                <w:snapToGrid w:val="0"/>
                <w:kern w:val="0"/>
                <w:sz w:val="24"/>
              </w:rPr>
              <w:t>3</w:t>
            </w:r>
            <w:r>
              <w:rPr>
                <w:rFonts w:ascii="Times New Roman" w:hAnsi="Times New Roman" w:eastAsia="宋体" w:cs="Times New Roman"/>
                <w:b/>
                <w:bCs/>
                <w:snapToGrid w:val="0"/>
                <w:kern w:val="0"/>
                <w:sz w:val="24"/>
              </w:rPr>
              <w:t>-1  厂区自建污水处理站工艺图</w:t>
            </w:r>
          </w:p>
          <w:p>
            <w:pPr>
              <w:pStyle w:val="39"/>
              <w:adjustRightInd/>
              <w:snapToGrid/>
              <w:spacing w:before="0" w:beforeAutospacing="0" w:afterLines="0" w:line="360" w:lineRule="auto"/>
              <w:ind w:firstLine="480" w:firstLineChars="200"/>
              <w:jc w:val="both"/>
              <w:outlineLvl w:val="9"/>
              <w:rPr>
                <w:rFonts w:ascii="Times New Roman" w:hAnsi="Times New Roman"/>
                <w:b w:val="0"/>
                <w:spacing w:val="0"/>
              </w:rPr>
            </w:pPr>
            <w:r>
              <w:rPr>
                <w:rFonts w:ascii="Times New Roman" w:hAnsi="Times New Roman"/>
                <w:b w:val="0"/>
                <w:spacing w:val="0"/>
              </w:rPr>
              <w:t>厂区自建污水处理站处理工艺简述：</w:t>
            </w:r>
          </w:p>
          <w:p>
            <w:pPr>
              <w:pStyle w:val="39"/>
              <w:adjustRightInd/>
              <w:snapToGrid/>
              <w:spacing w:before="0" w:beforeAutospacing="0" w:afterLines="0" w:line="360" w:lineRule="auto"/>
              <w:ind w:firstLine="480" w:firstLineChars="200"/>
              <w:jc w:val="both"/>
              <w:outlineLvl w:val="9"/>
              <w:rPr>
                <w:rFonts w:ascii="Times New Roman" w:hAnsi="Times New Roman"/>
                <w:b w:val="0"/>
                <w:spacing w:val="0"/>
              </w:rPr>
            </w:pPr>
            <w:r>
              <w:rPr>
                <w:rFonts w:ascii="Times New Roman" w:hAnsi="Times New Roman"/>
                <w:b w:val="0"/>
                <w:spacing w:val="0"/>
              </w:rPr>
              <w:t>处理工艺流程为</w:t>
            </w:r>
            <w:r>
              <w:rPr>
                <w:rFonts w:hint="eastAsia" w:ascii="Times New Roman" w:hAnsi="Times New Roman"/>
                <w:b w:val="0"/>
                <w:spacing w:val="0"/>
              </w:rPr>
              <w:t>“</w:t>
            </w:r>
            <w:r>
              <w:rPr>
                <w:rFonts w:ascii="Times New Roman" w:hAnsi="Times New Roman"/>
                <w:b w:val="0"/>
                <w:spacing w:val="0"/>
              </w:rPr>
              <w:t>调节池+反应池+斜管沉淀池+中间水池+锰砂过滤器</w:t>
            </w:r>
            <w:r>
              <w:rPr>
                <w:rFonts w:hint="eastAsia" w:ascii="Times New Roman" w:hAnsi="Times New Roman"/>
                <w:b w:val="0"/>
                <w:spacing w:val="0"/>
              </w:rPr>
              <w:t>”</w:t>
            </w:r>
            <w:r>
              <w:rPr>
                <w:rFonts w:ascii="Times New Roman" w:hAnsi="Times New Roman"/>
                <w:b w:val="0"/>
                <w:spacing w:val="0"/>
              </w:rPr>
              <w:t>，</w:t>
            </w:r>
            <w:r>
              <w:rPr>
                <w:rFonts w:hint="eastAsia" w:ascii="Times New Roman" w:hAnsi="Times New Roman"/>
                <w:b w:val="0"/>
                <w:spacing w:val="0"/>
              </w:rPr>
              <w:t>生产</w:t>
            </w:r>
            <w:r>
              <w:rPr>
                <w:rFonts w:ascii="Times New Roman" w:hAnsi="Times New Roman"/>
                <w:b w:val="0"/>
                <w:spacing w:val="0"/>
              </w:rPr>
              <w:t>废水通过格栅进入废水调节池。调节池起到污水处理工作和调节水量、水质。加入一定的水处理剂调整废水的pH值，减轻后需处理设施的处理负荷。废水调节后通过提升泵将废水打入反应池内，并向废水中投加一定量的絮凝剂，使得污水与药剂充分混凝反应后，形成絮团。混凝反应后的絮团经过斜管沉淀池内部的斜管填料加速沉淀，降低污水中的悬浮物、浊度、色度等。底部设置排泥系统，定期排污至污泥池。中间水池接纳斜管沉淀池出水，为后续锰砂过滤器提供足够的水源。锰砂过滤器在工艺中主要去除水中的金属离子及悬浮物，设计流速为8~10m/h（宜采用低流速运行），过滤器内装石英砂、锰砂等介质及粒径的滤料，因此该过滤器具有更大的载污空间，且具有两个过滤界面，接近理想过滤器，具有截污去金属离子能力强，产水量大等特点。过滤器设有进出水压力表，过滤器的反洗按进水水压差来确定，反洗强度为15L/m</w:t>
            </w:r>
            <w:r>
              <w:rPr>
                <w:rFonts w:ascii="Times New Roman" w:hAnsi="Times New Roman"/>
                <w:b w:val="0"/>
                <w:spacing w:val="0"/>
                <w:vertAlign w:val="superscript"/>
              </w:rPr>
              <w:t>2</w:t>
            </w:r>
            <w:r>
              <w:rPr>
                <w:rFonts w:ascii="Times New Roman" w:hAnsi="Times New Roman"/>
                <w:b w:val="0"/>
                <w:spacing w:val="0"/>
              </w:rPr>
              <w:t>.s，滤料反洗膨胀率为30-40%为宜，反洗水利用原水泵进行反洗。</w:t>
            </w:r>
          </w:p>
          <w:p>
            <w:pPr>
              <w:pStyle w:val="39"/>
              <w:adjustRightInd/>
              <w:snapToGrid/>
              <w:spacing w:before="0" w:beforeAutospacing="0" w:afterLines="0" w:line="360" w:lineRule="auto"/>
              <w:ind w:firstLine="480" w:firstLineChars="200"/>
              <w:jc w:val="both"/>
              <w:outlineLvl w:val="9"/>
              <w:rPr>
                <w:rFonts w:ascii="Times New Roman" w:hAnsi="Times New Roman"/>
                <w:b w:val="0"/>
                <w:spacing w:val="0"/>
              </w:rPr>
            </w:pPr>
            <w:r>
              <w:rPr>
                <w:rFonts w:hint="eastAsia" w:ascii="Times New Roman" w:hAnsi="Times New Roman"/>
                <w:b w:val="0"/>
                <w:spacing w:val="0"/>
              </w:rPr>
              <w:t>本项目厂区污水排口，雨水排口及污水处理站如下图所示：</w:t>
            </w:r>
          </w:p>
          <w:p>
            <w:pPr>
              <w:spacing w:line="360" w:lineRule="auto"/>
              <w:jc w:val="left"/>
              <w:rPr>
                <w:rFonts w:ascii="Times New Roman" w:hAnsi="Times New Roman" w:eastAsia="宋体" w:cs="Times New Roman"/>
                <w:sz w:val="24"/>
              </w:rPr>
            </w:pPr>
            <w:r>
              <w:rPr>
                <w:rFonts w:ascii="Times New Roman" w:hAnsi="Times New Roman" w:eastAsia="宋体" w:cs="Times New Roman"/>
                <w:sz w:val="24"/>
              </w:rPr>
              <w:drawing>
                <wp:inline distT="0" distB="0" distL="0" distR="0">
                  <wp:extent cx="2519680" cy="2159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2160000"/>
                          </a:xfrm>
                          <a:prstGeom prst="rect">
                            <a:avLst/>
                          </a:prstGeom>
                          <a:noFill/>
                          <a:ln>
                            <a:noFill/>
                          </a:ln>
                        </pic:spPr>
                      </pic:pic>
                    </a:graphicData>
                  </a:graphic>
                </wp:inline>
              </w:drawing>
            </w:r>
            <w:r>
              <w:rPr>
                <w:rFonts w:hint="eastAsia" w:ascii="Times New Roman" w:hAnsi="Times New Roman" w:eastAsia="宋体" w:cs="Times New Roman"/>
                <w:sz w:val="24"/>
              </w:rPr>
              <w:t xml:space="preserve"> </w:t>
            </w:r>
            <w:r>
              <w:rPr>
                <w:rFonts w:ascii="Times New Roman" w:hAnsi="Times New Roman" w:eastAsia="宋体" w:cs="Times New Roman"/>
                <w:sz w:val="24"/>
              </w:rPr>
              <w:t xml:space="preserve"> </w:t>
            </w:r>
            <w:r>
              <w:rPr>
                <w:rFonts w:hint="eastAsia" w:ascii="Times New Roman" w:hAnsi="Times New Roman" w:eastAsia="宋体" w:cs="Times New Roman"/>
                <w:sz w:val="24"/>
              </w:rPr>
              <w:drawing>
                <wp:inline distT="0" distB="0" distL="0" distR="0">
                  <wp:extent cx="2520315" cy="2159635"/>
                  <wp:effectExtent l="0" t="0" r="6985" b="12065"/>
                  <wp:docPr id="14" name="图片 14" descr="C:\Users\Lenovo\Desktop\乐开验收\雨水口.jpg雨水口"/>
                  <wp:cNvGraphicFramePr/>
                  <a:graphic xmlns:a="http://schemas.openxmlformats.org/drawingml/2006/main">
                    <a:graphicData uri="http://schemas.openxmlformats.org/drawingml/2006/picture">
                      <pic:pic xmlns:pic="http://schemas.openxmlformats.org/drawingml/2006/picture">
                        <pic:nvPicPr>
                          <pic:cNvPr id="14" name="图片 14" descr="C:\Users\Lenovo\Desktop\乐开验收\雨水口.jpg雨水口"/>
                          <pic:cNvPicPr/>
                        </pic:nvPicPr>
                        <pic:blipFill>
                          <a:blip r:embed="rId14"/>
                          <a:srcRect/>
                          <a:stretch>
                            <a:fillRect/>
                          </a:stretch>
                        </pic:blipFill>
                        <pic:spPr>
                          <a:xfrm>
                            <a:off x="0" y="0"/>
                            <a:ext cx="2520315" cy="2160000"/>
                          </a:xfrm>
                          <a:prstGeom prst="rect">
                            <a:avLst/>
                          </a:prstGeom>
                        </pic:spPr>
                      </pic:pic>
                    </a:graphicData>
                  </a:graphic>
                </wp:inline>
              </w:drawing>
            </w:r>
          </w:p>
          <w:p>
            <w:pPr>
              <w:spacing w:line="360" w:lineRule="auto"/>
              <w:ind w:firstLine="720" w:firstLineChars="300"/>
              <w:rPr>
                <w:rFonts w:ascii="Times New Roman" w:hAnsi="Times New Roman" w:eastAsia="宋体" w:cs="Times New Roman"/>
                <w:sz w:val="24"/>
              </w:rPr>
            </w:pPr>
            <w:r>
              <w:rPr>
                <w:rFonts w:hint="eastAsia" w:ascii="Times New Roman" w:hAnsi="Times New Roman" w:eastAsia="宋体" w:cs="Times New Roman"/>
                <w:sz w:val="24"/>
              </w:rPr>
              <w:t>图3</w:t>
            </w:r>
            <w:r>
              <w:rPr>
                <w:rFonts w:ascii="Times New Roman" w:hAnsi="Times New Roman" w:eastAsia="宋体" w:cs="Times New Roman"/>
                <w:sz w:val="24"/>
              </w:rPr>
              <w:t xml:space="preserve">-2 </w:t>
            </w:r>
            <w:r>
              <w:rPr>
                <w:rFonts w:hint="eastAsia" w:ascii="Times New Roman" w:hAnsi="Times New Roman" w:eastAsia="宋体" w:cs="Times New Roman"/>
                <w:sz w:val="24"/>
              </w:rPr>
              <w:t>厂区内污水排放口</w:t>
            </w:r>
            <w:r>
              <w:rPr>
                <w:rFonts w:ascii="Times New Roman" w:hAnsi="Times New Roman" w:eastAsia="宋体" w:cs="Times New Roman"/>
                <w:sz w:val="24"/>
              </w:rPr>
              <w:t xml:space="preserve">              </w:t>
            </w:r>
            <w:r>
              <w:rPr>
                <w:rFonts w:hint="eastAsia" w:ascii="Times New Roman" w:hAnsi="Times New Roman" w:eastAsia="宋体" w:cs="Times New Roman"/>
                <w:sz w:val="24"/>
                <w:highlight w:val="yellow"/>
              </w:rPr>
              <w:t>图3</w:t>
            </w:r>
            <w:r>
              <w:rPr>
                <w:rFonts w:ascii="Times New Roman" w:hAnsi="Times New Roman" w:eastAsia="宋体" w:cs="Times New Roman"/>
                <w:sz w:val="24"/>
                <w:highlight w:val="yellow"/>
              </w:rPr>
              <w:t xml:space="preserve">-3 </w:t>
            </w:r>
            <w:r>
              <w:rPr>
                <w:rFonts w:hint="eastAsia" w:ascii="Times New Roman" w:hAnsi="Times New Roman" w:eastAsia="宋体" w:cs="Times New Roman"/>
                <w:sz w:val="24"/>
                <w:highlight w:val="yellow"/>
              </w:rPr>
              <w:t>厂区内雨水排放口</w:t>
            </w:r>
          </w:p>
          <w:p>
            <w:pPr>
              <w:spacing w:line="360" w:lineRule="auto"/>
              <w:jc w:val="center"/>
              <w:rPr>
                <w:rFonts w:ascii="Times New Roman" w:hAnsi="Times New Roman" w:eastAsia="宋体" w:cs="Times New Roman"/>
                <w:sz w:val="24"/>
              </w:rPr>
            </w:pPr>
            <w:bookmarkStart w:id="9" w:name="_GoBack"/>
            <w:r>
              <w:rPr>
                <w:rFonts w:ascii="Times New Roman" w:hAnsi="Times New Roman" w:eastAsia="宋体" w:cs="Times New Roman"/>
                <w:sz w:val="24"/>
              </w:rPr>
              <w:drawing>
                <wp:inline distT="0" distB="0" distL="0" distR="0">
                  <wp:extent cx="4319905" cy="2429510"/>
                  <wp:effectExtent l="0" t="0" r="444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20000" cy="2430000"/>
                          </a:xfrm>
                          <a:prstGeom prst="rect">
                            <a:avLst/>
                          </a:prstGeom>
                          <a:noFill/>
                          <a:ln>
                            <a:noFill/>
                          </a:ln>
                        </pic:spPr>
                      </pic:pic>
                    </a:graphicData>
                  </a:graphic>
                </wp:inline>
              </w:drawing>
            </w:r>
            <w:bookmarkEnd w:id="9"/>
          </w:p>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图3</w:t>
            </w:r>
            <w:r>
              <w:rPr>
                <w:rFonts w:ascii="Times New Roman" w:hAnsi="Times New Roman" w:eastAsia="宋体" w:cs="Times New Roman"/>
                <w:sz w:val="24"/>
              </w:rPr>
              <w:t xml:space="preserve">-4 </w:t>
            </w:r>
            <w:r>
              <w:rPr>
                <w:rFonts w:hint="eastAsia" w:ascii="Times New Roman" w:hAnsi="Times New Roman" w:eastAsia="宋体" w:cs="Times New Roman"/>
                <w:sz w:val="24"/>
              </w:rPr>
              <w:t>厂区内污水处理站</w:t>
            </w:r>
          </w:p>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w:t>
            </w:r>
            <w:r>
              <w:rPr>
                <w:rFonts w:ascii="Times New Roman" w:hAnsi="Times New Roman" w:eastAsia="宋体" w:cs="Times New Roman"/>
                <w:b/>
                <w:bCs/>
                <w:sz w:val="24"/>
              </w:rPr>
              <w:t>2</w:t>
            </w:r>
            <w:r>
              <w:rPr>
                <w:rFonts w:hint="eastAsia" w:ascii="Times New Roman" w:hAnsi="Times New Roman" w:eastAsia="宋体" w:cs="Times New Roman"/>
                <w:b/>
                <w:bCs/>
                <w:sz w:val="24"/>
              </w:rPr>
              <w:t>）</w:t>
            </w:r>
            <w:r>
              <w:rPr>
                <w:rFonts w:ascii="Times New Roman" w:hAnsi="Times New Roman" w:eastAsia="宋体" w:cs="Times New Roman"/>
                <w:b/>
                <w:bCs/>
                <w:sz w:val="24"/>
              </w:rPr>
              <w:t>废</w:t>
            </w:r>
            <w:r>
              <w:rPr>
                <w:rFonts w:hint="eastAsia" w:ascii="Times New Roman" w:hAnsi="Times New Roman" w:eastAsia="宋体" w:cs="Times New Roman"/>
                <w:b/>
                <w:bCs/>
                <w:sz w:val="24"/>
              </w:rPr>
              <w:t>气污染防治措施建设情况</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本项目运营期主要废气为有组织废气主要为</w:t>
            </w:r>
            <w:r>
              <w:rPr>
                <w:rFonts w:hint="eastAsia" w:ascii="Times New Roman" w:hAnsi="Times New Roman" w:eastAsia="宋体" w:cs="Times New Roman"/>
                <w:sz w:val="24"/>
              </w:rPr>
              <w:t>抛丸、喷砂工段产生的颗粒物，通过布袋除尘设施处理后合并至一个</w:t>
            </w:r>
            <w:r>
              <w:rPr>
                <w:rFonts w:ascii="Times New Roman" w:hAnsi="Times New Roman" w:eastAsia="宋体" w:cs="Times New Roman"/>
                <w:sz w:val="24"/>
              </w:rPr>
              <w:t>15m排气筒达标排放。</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原环评中只设置一台除尘器，因在实际建设过程中考虑处理设施的空间放置和管道布设等原因，有效的提高收集效率和处理能力，故增设了一套布袋除尘设施，其他未变化。项目废气处理设施流程图见图3-</w:t>
            </w:r>
            <w:r>
              <w:rPr>
                <w:rFonts w:ascii="Times New Roman" w:hAnsi="Times New Roman" w:eastAsia="宋体" w:cs="Times New Roman"/>
                <w:sz w:val="24"/>
              </w:rPr>
              <w:t>5</w:t>
            </w:r>
            <w:r>
              <w:rPr>
                <w:rFonts w:hint="eastAsia" w:ascii="Times New Roman" w:hAnsi="Times New Roman" w:eastAsia="宋体" w:cs="Times New Roman"/>
                <w:sz w:val="24"/>
              </w:rPr>
              <w:t>。</w:t>
            </w: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drawing>
                <wp:inline distT="0" distB="0" distL="0" distR="0">
                  <wp:extent cx="5064760" cy="421005"/>
                  <wp:effectExtent l="0" t="0" r="21590" b="17145"/>
                  <wp:docPr id="11" name="图示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图</w:t>
            </w:r>
            <w:r>
              <w:rPr>
                <w:rFonts w:ascii="Times New Roman" w:hAnsi="Times New Roman" w:eastAsia="宋体" w:cs="Times New Roman"/>
                <w:b/>
                <w:bCs/>
                <w:sz w:val="24"/>
              </w:rPr>
              <w:t xml:space="preserve">3-5  </w:t>
            </w:r>
            <w:r>
              <w:rPr>
                <w:rFonts w:hint="eastAsia" w:ascii="Times New Roman" w:hAnsi="Times New Roman" w:eastAsia="宋体" w:cs="Times New Roman"/>
                <w:b/>
                <w:bCs/>
                <w:sz w:val="24"/>
              </w:rPr>
              <w:t>废气治理流程图</w:t>
            </w:r>
          </w:p>
          <w:p>
            <w:pPr>
              <w:spacing w:line="360" w:lineRule="auto"/>
              <w:jc w:val="center"/>
              <w:rPr>
                <w:rFonts w:ascii="Times New Roman" w:hAnsi="Times New Roman" w:eastAsia="宋体" w:cs="Times New Roman"/>
                <w:b/>
                <w:bCs/>
                <w:sz w:val="24"/>
              </w:rPr>
            </w:pPr>
          </w:p>
          <w:p>
            <w:pPr>
              <w:spacing w:line="360" w:lineRule="auto"/>
              <w:jc w:val="left"/>
              <w:rPr>
                <w:rFonts w:ascii="Times New Roman" w:hAnsi="Times New Roman" w:eastAsia="宋体" w:cs="Times New Roman"/>
                <w:b/>
                <w:bCs/>
                <w:sz w:val="24"/>
              </w:rPr>
            </w:pPr>
            <w:r>
              <w:rPr>
                <w:rFonts w:ascii="Times New Roman" w:hAnsi="Times New Roman" w:eastAsia="宋体" w:cs="Times New Roman"/>
                <w:b/>
                <w:bCs/>
                <w:sz w:val="24"/>
              </w:rPr>
              <w:drawing>
                <wp:inline distT="0" distB="0" distL="0" distR="0">
                  <wp:extent cx="2771775" cy="2771775"/>
                  <wp:effectExtent l="0" t="0" r="9525" b="9525"/>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72000" cy="2772000"/>
                          </a:xfrm>
                          <a:prstGeom prst="rect">
                            <a:avLst/>
                          </a:prstGeom>
                        </pic:spPr>
                      </pic:pic>
                    </a:graphicData>
                  </a:graphic>
                </wp:inline>
              </w:drawing>
            </w:r>
            <w:r>
              <w:rPr>
                <w:rFonts w:ascii="Times New Roman" w:hAnsi="Times New Roman" w:eastAsia="宋体" w:cs="Times New Roman"/>
                <w:b/>
                <w:bCs/>
                <w:sz w:val="24"/>
              </w:rPr>
              <w:drawing>
                <wp:inline distT="0" distB="0" distL="0" distR="0">
                  <wp:extent cx="2771775" cy="2771775"/>
                  <wp:effectExtent l="0" t="0" r="9525" b="9525"/>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772000" cy="2772000"/>
                          </a:xfrm>
                          <a:prstGeom prst="rect">
                            <a:avLst/>
                          </a:prstGeom>
                        </pic:spPr>
                      </pic:pic>
                    </a:graphicData>
                  </a:graphic>
                </wp:inline>
              </w:drawing>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 xml:space="preserve">厂区内废气处理装置 </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 xml:space="preserve"> 厂区内排气筒标识</w:t>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drawing>
                <wp:inline distT="0" distB="0" distL="0" distR="0">
                  <wp:extent cx="4319905" cy="2429510"/>
                  <wp:effectExtent l="0" t="0" r="444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20000" cy="2430000"/>
                          </a:xfrm>
                          <a:prstGeom prst="rect">
                            <a:avLst/>
                          </a:prstGeom>
                          <a:noFill/>
                          <a:ln>
                            <a:noFill/>
                          </a:ln>
                        </pic:spPr>
                      </pic:pic>
                    </a:graphicData>
                  </a:graphic>
                </wp:inline>
              </w:drawing>
            </w:r>
          </w:p>
          <w:p>
            <w:pPr>
              <w:spacing w:line="360" w:lineRule="auto"/>
              <w:ind w:firstLine="3373" w:firstLineChars="1400"/>
              <w:rPr>
                <w:rFonts w:ascii="Times New Roman" w:hAnsi="Times New Roman" w:eastAsia="宋体" w:cs="Times New Roman"/>
                <w:b/>
                <w:bCs/>
                <w:sz w:val="24"/>
              </w:rPr>
            </w:pPr>
            <w:r>
              <w:rPr>
                <w:rFonts w:hint="eastAsia" w:ascii="Times New Roman" w:hAnsi="Times New Roman" w:eastAsia="宋体" w:cs="Times New Roman"/>
                <w:b/>
                <w:bCs/>
                <w:sz w:val="24"/>
              </w:rPr>
              <w:t>厂区内布袋除尘设施</w:t>
            </w:r>
          </w:p>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（3）噪声污染防治措施建设情况</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color w:val="000000"/>
                <w:sz w:val="24"/>
              </w:rPr>
              <w:t>本项目噪声主要来源于生产过程中圆盘锯、带锯、点压机、压力机、液压机、抛丸机、喷砂机、空压机、数控车床、普通车床、电火花成型机、线切割机床、磨床、数控上拉式机床、精密卧式珩磨机、数控卡盘车床、提升泵等设备运行时产生的噪声，其源强为80~85dB(A)。为减少噪声源对外环境的影响，本项目对噪声设备采取厂房隔声、安装消声器以及设备减震等处理。</w:t>
            </w:r>
            <w:r>
              <w:rPr>
                <w:rFonts w:ascii="Times New Roman" w:hAnsi="Times New Roman" w:eastAsia="宋体" w:cs="Times New Roman"/>
                <w:sz w:val="24"/>
              </w:rPr>
              <w:t>具体降噪措施见表3-1。</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 xml:space="preserve">3-1  </w:t>
            </w:r>
            <w:r>
              <w:rPr>
                <w:rFonts w:hint="eastAsia" w:ascii="Times New Roman" w:hAnsi="Times New Roman" w:eastAsia="宋体" w:cs="Times New Roman"/>
                <w:b/>
                <w:bCs/>
                <w:sz w:val="24"/>
              </w:rPr>
              <w:t>主要噪声源及治理设施一览表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478"/>
              <w:gridCol w:w="1273"/>
              <w:gridCol w:w="1728"/>
              <w:gridCol w:w="1728"/>
              <w:gridCol w:w="928"/>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413" w:type="pct"/>
                  <w:vAlign w:val="center"/>
                </w:tcPr>
                <w:p>
                  <w:pPr>
                    <w:jc w:val="center"/>
                    <w:rPr>
                      <w:rFonts w:ascii="Times New Roman" w:hAnsi="Times New Roman" w:eastAsia="宋体" w:cs="Times New Roman"/>
                      <w:b/>
                      <w:bCs/>
                      <w:color w:val="000000"/>
                      <w:kern w:val="0"/>
                      <w:szCs w:val="21"/>
                    </w:rPr>
                  </w:pPr>
                  <w:bookmarkStart w:id="5" w:name="_Hlk9597624"/>
                  <w:r>
                    <w:rPr>
                      <w:rFonts w:ascii="Times New Roman" w:hAnsi="Times New Roman" w:eastAsia="宋体" w:cs="Times New Roman"/>
                      <w:b/>
                      <w:bCs/>
                      <w:color w:val="000000"/>
                      <w:kern w:val="0"/>
                      <w:szCs w:val="21"/>
                    </w:rPr>
                    <w:t>序号</w:t>
                  </w:r>
                </w:p>
              </w:tc>
              <w:tc>
                <w:tcPr>
                  <w:tcW w:w="841" w:type="pct"/>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设备名称</w:t>
                  </w:r>
                </w:p>
              </w:tc>
              <w:tc>
                <w:tcPr>
                  <w:tcW w:w="724" w:type="pct"/>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数量（台/套）</w:t>
                  </w:r>
                </w:p>
              </w:tc>
              <w:tc>
                <w:tcPr>
                  <w:tcW w:w="983" w:type="pct"/>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工作情况</w:t>
                  </w:r>
                </w:p>
              </w:tc>
              <w:tc>
                <w:tcPr>
                  <w:tcW w:w="983" w:type="pct"/>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szCs w:val="21"/>
                    </w:rPr>
                    <w:t>单机噪声源强dB(A)</w:t>
                  </w:r>
                </w:p>
              </w:tc>
              <w:tc>
                <w:tcPr>
                  <w:tcW w:w="528" w:type="pct"/>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环评降噪措施</w:t>
                  </w:r>
                </w:p>
              </w:tc>
              <w:tc>
                <w:tcPr>
                  <w:tcW w:w="528" w:type="pct"/>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实际降噪措施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413"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bCs/>
                      <w:color w:val="000000"/>
                      <w:szCs w:val="21"/>
                    </w:rPr>
                    <w:t>1</w:t>
                  </w:r>
                </w:p>
              </w:tc>
              <w:tc>
                <w:tcPr>
                  <w:tcW w:w="841"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圆盘锯</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6</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80</w:t>
                  </w:r>
                </w:p>
              </w:tc>
              <w:tc>
                <w:tcPr>
                  <w:tcW w:w="528" w:type="pct"/>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厂房隔声、安装消声器以及设备减震</w:t>
                  </w:r>
                </w:p>
              </w:tc>
              <w:tc>
                <w:tcPr>
                  <w:tcW w:w="528" w:type="pct"/>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厂房隔声、安装消声器以及设备减震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bCs/>
                      <w:color w:val="000000"/>
                      <w:szCs w:val="21"/>
                    </w:rPr>
                    <w:t>2</w:t>
                  </w:r>
                </w:p>
              </w:tc>
              <w:tc>
                <w:tcPr>
                  <w:tcW w:w="841"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bCs/>
                      <w:color w:val="000000"/>
                      <w:szCs w:val="21"/>
                    </w:rPr>
                    <w:t>带锯</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1</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80</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3</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点压机</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1</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80</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4</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压力机</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6</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80</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5</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液压机</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6</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80</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6</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抛丸机</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3</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80</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7</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喷砂机</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1</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80</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空压机</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5</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85</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9</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数控车床</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12</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85</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10</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普通车床</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2</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85</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11</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电火花成型机</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2</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85</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12</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线切割机床</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2</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85</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13</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磨床</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2</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85</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14</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数控上拉式拉床</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1</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85</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15</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精密卧式珩磨机</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2</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85</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16</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数控卡盘车床</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3</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85</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1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17</w:t>
                  </w:r>
                </w:p>
              </w:tc>
              <w:tc>
                <w:tcPr>
                  <w:tcW w:w="841"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提升泵</w:t>
                  </w:r>
                </w:p>
              </w:tc>
              <w:tc>
                <w:tcPr>
                  <w:tcW w:w="724" w:type="pct"/>
                  <w:vAlign w:val="center"/>
                </w:tcPr>
                <w:p>
                  <w:pPr>
                    <w:jc w:val="center"/>
                    <w:rPr>
                      <w:rFonts w:ascii="Times New Roman" w:hAnsi="Times New Roman" w:eastAsia="宋体" w:cs="Times New Roman"/>
                      <w:spacing w:val="-20"/>
                      <w:szCs w:val="21"/>
                    </w:rPr>
                  </w:pPr>
                  <w:r>
                    <w:rPr>
                      <w:rFonts w:ascii="Times New Roman" w:hAnsi="Times New Roman" w:eastAsia="宋体" w:cs="Times New Roman"/>
                      <w:spacing w:val="-20"/>
                      <w:szCs w:val="21"/>
                    </w:rPr>
                    <w:t>4</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szCs w:val="21"/>
                    </w:rPr>
                    <w:t>连续</w:t>
                  </w:r>
                </w:p>
              </w:tc>
              <w:tc>
                <w:tcPr>
                  <w:tcW w:w="983" w:type="pct"/>
                  <w:vAlign w:val="center"/>
                </w:tcPr>
                <w:p>
                  <w:pPr>
                    <w:jc w:val="center"/>
                    <w:rPr>
                      <w:rFonts w:ascii="Times New Roman" w:hAnsi="Times New Roman" w:eastAsia="宋体" w:cs="Times New Roman"/>
                      <w:bCs/>
                      <w:color w:val="000000"/>
                      <w:szCs w:val="21"/>
                    </w:rPr>
                  </w:pPr>
                  <w:r>
                    <w:rPr>
                      <w:rFonts w:ascii="Times New Roman" w:hAnsi="Times New Roman" w:eastAsia="宋体" w:cs="Times New Roman"/>
                      <w:bCs/>
                      <w:color w:val="000000"/>
                      <w:szCs w:val="21"/>
                    </w:rPr>
                    <w:t>85</w:t>
                  </w:r>
                </w:p>
              </w:tc>
              <w:tc>
                <w:tcPr>
                  <w:tcW w:w="528" w:type="pct"/>
                  <w:vMerge w:val="continue"/>
                  <w:vAlign w:val="center"/>
                </w:tcPr>
                <w:p>
                  <w:pPr>
                    <w:jc w:val="center"/>
                    <w:rPr>
                      <w:rFonts w:ascii="Times New Roman" w:hAnsi="Times New Roman" w:eastAsia="宋体" w:cs="Times New Roman"/>
                      <w:bCs/>
                      <w:color w:val="000000"/>
                      <w:szCs w:val="21"/>
                    </w:rPr>
                  </w:pPr>
                </w:p>
              </w:tc>
              <w:tc>
                <w:tcPr>
                  <w:tcW w:w="528" w:type="pct"/>
                  <w:vMerge w:val="continue"/>
                  <w:vAlign w:val="center"/>
                </w:tcPr>
                <w:p>
                  <w:pPr>
                    <w:jc w:val="center"/>
                    <w:rPr>
                      <w:rFonts w:ascii="Times New Roman" w:hAnsi="Times New Roman" w:eastAsia="宋体" w:cs="Times New Roman"/>
                      <w:bCs/>
                      <w:color w:val="000000"/>
                      <w:szCs w:val="21"/>
                    </w:rPr>
                  </w:pPr>
                </w:p>
              </w:tc>
            </w:tr>
            <w:bookmarkEnd w:id="5"/>
          </w:tbl>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（4）固体废物污染防治措施建设情况</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color w:val="000000"/>
                <w:sz w:val="24"/>
              </w:rPr>
              <w:t>本项目固体废物包括一般固废、危险废物和生活垃圾，其中一般固废包括生活垃圾、金属废料、氧化皮废料、废布袋；危险废物包括废润滑油、废液压油、废切削液、废油桶、磷化渣和污泥</w:t>
            </w:r>
            <w:r>
              <w:rPr>
                <w:rFonts w:ascii="Times New Roman" w:hAnsi="Times New Roman" w:eastAsia="宋体" w:cs="Times New Roman"/>
                <w:sz w:val="24"/>
              </w:rPr>
              <w:t>。具体固体废物处置情况见表3-2。</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 xml:space="preserve">3-2  </w:t>
            </w:r>
            <w:r>
              <w:rPr>
                <w:rFonts w:hint="eastAsia" w:ascii="Times New Roman" w:hAnsi="Times New Roman" w:eastAsia="宋体" w:cs="Times New Roman"/>
                <w:b/>
                <w:bCs/>
                <w:sz w:val="24"/>
              </w:rPr>
              <w:t>固体废物产生及处置情况一览表</w:t>
            </w:r>
          </w:p>
          <w:tbl>
            <w:tblPr>
              <w:tblStyle w:val="17"/>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7"/>
              <w:gridCol w:w="829"/>
              <w:gridCol w:w="1196"/>
              <w:gridCol w:w="1195"/>
              <w:gridCol w:w="1037"/>
              <w:gridCol w:w="1035"/>
              <w:gridCol w:w="1312"/>
              <w:gridCol w:w="143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7"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废物种类</w:t>
                  </w:r>
                </w:p>
              </w:tc>
              <w:tc>
                <w:tcPr>
                  <w:tcW w:w="514"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废物名称</w:t>
                  </w:r>
                </w:p>
              </w:tc>
              <w:tc>
                <w:tcPr>
                  <w:tcW w:w="387"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废物代码</w:t>
                  </w:r>
                </w:p>
              </w:tc>
              <w:tc>
                <w:tcPr>
                  <w:tcW w:w="722" w:type="pct"/>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原环评</w:t>
                  </w:r>
                  <w:r>
                    <w:rPr>
                      <w:rFonts w:ascii="Times New Roman" w:hAnsi="Times New Roman" w:eastAsia="宋体" w:cs="Times New Roman"/>
                      <w:b/>
                      <w:bCs/>
                      <w:kern w:val="0"/>
                      <w:szCs w:val="21"/>
                    </w:rPr>
                    <w:t>预估量(t/a)</w:t>
                  </w:r>
                </w:p>
              </w:tc>
              <w:tc>
                <w:tcPr>
                  <w:tcW w:w="632"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实际产生量(t/a)</w:t>
                  </w:r>
                </w:p>
              </w:tc>
              <w:tc>
                <w:tcPr>
                  <w:tcW w:w="631"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处置量(t/a)</w:t>
                  </w:r>
                </w:p>
              </w:tc>
              <w:tc>
                <w:tcPr>
                  <w:tcW w:w="788"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环评防治措施</w:t>
                  </w:r>
                </w:p>
              </w:tc>
              <w:tc>
                <w:tcPr>
                  <w:tcW w:w="859"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实际防治措施</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7" w:type="pct"/>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一般固废</w:t>
                  </w:r>
                </w:p>
                <w:p>
                  <w:pPr>
                    <w:jc w:val="center"/>
                    <w:rPr>
                      <w:rFonts w:ascii="Times New Roman" w:hAnsi="Times New Roman" w:eastAsia="宋体" w:cs="Times New Roman"/>
                      <w:kern w:val="0"/>
                      <w:szCs w:val="21"/>
                    </w:rPr>
                  </w:pPr>
                </w:p>
              </w:tc>
              <w:tc>
                <w:tcPr>
                  <w:tcW w:w="514"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生活垃圾</w:t>
                  </w:r>
                </w:p>
              </w:tc>
              <w:tc>
                <w:tcPr>
                  <w:tcW w:w="387"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99</w:t>
                  </w:r>
                </w:p>
              </w:tc>
              <w:tc>
                <w:tcPr>
                  <w:tcW w:w="72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4.5</w:t>
                  </w:r>
                </w:p>
              </w:tc>
              <w:tc>
                <w:tcPr>
                  <w:tcW w:w="63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2.5</w:t>
                  </w:r>
                </w:p>
              </w:tc>
              <w:tc>
                <w:tcPr>
                  <w:tcW w:w="631"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2.5</w:t>
                  </w:r>
                </w:p>
              </w:tc>
              <w:tc>
                <w:tcPr>
                  <w:tcW w:w="788" w:type="pct"/>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收集后由环卫部门统一处理</w:t>
                  </w:r>
                </w:p>
              </w:tc>
              <w:tc>
                <w:tcPr>
                  <w:tcW w:w="859" w:type="pct"/>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收集后由环卫部门统一处理</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7"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514"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废布袋</w:t>
                  </w:r>
                </w:p>
              </w:tc>
              <w:tc>
                <w:tcPr>
                  <w:tcW w:w="387"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99</w:t>
                  </w:r>
                </w:p>
              </w:tc>
              <w:tc>
                <w:tcPr>
                  <w:tcW w:w="72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0.05</w:t>
                  </w:r>
                </w:p>
              </w:tc>
              <w:tc>
                <w:tcPr>
                  <w:tcW w:w="63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0.03</w:t>
                  </w:r>
                </w:p>
              </w:tc>
              <w:tc>
                <w:tcPr>
                  <w:tcW w:w="631"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0.03</w:t>
                  </w:r>
                </w:p>
              </w:tc>
              <w:tc>
                <w:tcPr>
                  <w:tcW w:w="788"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859" w:type="pct"/>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467"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514"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金属废料</w:t>
                  </w:r>
                </w:p>
              </w:tc>
              <w:tc>
                <w:tcPr>
                  <w:tcW w:w="387"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09</w:t>
                  </w:r>
                </w:p>
              </w:tc>
              <w:tc>
                <w:tcPr>
                  <w:tcW w:w="72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328.97</w:t>
                  </w:r>
                </w:p>
              </w:tc>
              <w:tc>
                <w:tcPr>
                  <w:tcW w:w="63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300</w:t>
                  </w:r>
                </w:p>
              </w:tc>
              <w:tc>
                <w:tcPr>
                  <w:tcW w:w="631"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300</w:t>
                  </w:r>
                </w:p>
              </w:tc>
              <w:tc>
                <w:tcPr>
                  <w:tcW w:w="788" w:type="pct"/>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收集外售，综合利用</w:t>
                  </w:r>
                </w:p>
              </w:tc>
              <w:tc>
                <w:tcPr>
                  <w:tcW w:w="859" w:type="pct"/>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收集外售，综合利用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7"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514"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氧化皮废料</w:t>
                  </w:r>
                </w:p>
              </w:tc>
              <w:tc>
                <w:tcPr>
                  <w:tcW w:w="387"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09</w:t>
                  </w:r>
                </w:p>
              </w:tc>
              <w:tc>
                <w:tcPr>
                  <w:tcW w:w="72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50</w:t>
                  </w:r>
                </w:p>
              </w:tc>
              <w:tc>
                <w:tcPr>
                  <w:tcW w:w="63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25</w:t>
                  </w:r>
                </w:p>
              </w:tc>
              <w:tc>
                <w:tcPr>
                  <w:tcW w:w="631"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25</w:t>
                  </w:r>
                </w:p>
              </w:tc>
              <w:tc>
                <w:tcPr>
                  <w:tcW w:w="788" w:type="pct"/>
                  <w:vMerge w:val="continue"/>
                  <w:shd w:val="clear" w:color="auto" w:fill="FFFFFF" w:themeFill="background1"/>
                  <w:vAlign w:val="center"/>
                </w:tcPr>
                <w:p>
                  <w:pPr>
                    <w:jc w:val="center"/>
                    <w:rPr>
                      <w:rFonts w:ascii="Times New Roman" w:hAnsi="Times New Roman" w:eastAsia="宋体" w:cs="Times New Roman"/>
                      <w:kern w:val="24"/>
                      <w:szCs w:val="21"/>
                    </w:rPr>
                  </w:pPr>
                </w:p>
              </w:tc>
              <w:tc>
                <w:tcPr>
                  <w:tcW w:w="859" w:type="pct"/>
                  <w:vMerge w:val="continue"/>
                  <w:shd w:val="clear" w:color="auto" w:fill="FFFFFF" w:themeFill="background1"/>
                  <w:vAlign w:val="center"/>
                </w:tcPr>
                <w:p>
                  <w:pPr>
                    <w:jc w:val="center"/>
                    <w:rPr>
                      <w:rFonts w:ascii="Times New Roman" w:hAnsi="Times New Roman" w:eastAsia="宋体" w:cs="Times New Roman"/>
                      <w:kern w:val="24"/>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7" w:type="pct"/>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危险废物</w:t>
                  </w:r>
                </w:p>
              </w:tc>
              <w:tc>
                <w:tcPr>
                  <w:tcW w:w="514"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废润滑油</w:t>
                  </w:r>
                </w:p>
              </w:tc>
              <w:tc>
                <w:tcPr>
                  <w:tcW w:w="387"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900-214-08</w:t>
                  </w:r>
                </w:p>
              </w:tc>
              <w:tc>
                <w:tcPr>
                  <w:tcW w:w="72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632" w:type="pct"/>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highlight w:val="yellow"/>
                    </w:rPr>
                    <w:t>0.35</w:t>
                  </w:r>
                </w:p>
              </w:tc>
              <w:tc>
                <w:tcPr>
                  <w:tcW w:w="631" w:type="pct"/>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highlight w:val="yellow"/>
                    </w:rPr>
                    <w:t>0.35</w:t>
                  </w:r>
                </w:p>
              </w:tc>
              <w:tc>
                <w:tcPr>
                  <w:tcW w:w="788" w:type="pct"/>
                  <w:vMerge w:val="restart"/>
                  <w:shd w:val="clear" w:color="auto" w:fill="FFFFFF" w:themeFill="background1"/>
                  <w:vAlign w:val="center"/>
                </w:tcPr>
                <w:p>
                  <w:pPr>
                    <w:jc w:val="center"/>
                    <w:rPr>
                      <w:rFonts w:ascii="Times New Roman" w:hAnsi="Times New Roman" w:eastAsia="宋体" w:cs="Times New Roman"/>
                      <w:kern w:val="24"/>
                      <w:szCs w:val="21"/>
                    </w:rPr>
                  </w:pPr>
                  <w:r>
                    <w:rPr>
                      <w:rFonts w:ascii="Times New Roman" w:hAnsi="Times New Roman" w:eastAsia="宋体" w:cs="Times New Roman"/>
                      <w:kern w:val="0"/>
                      <w:szCs w:val="21"/>
                    </w:rPr>
                    <w:t>委托有资质单位处置</w:t>
                  </w:r>
                </w:p>
              </w:tc>
              <w:tc>
                <w:tcPr>
                  <w:tcW w:w="859" w:type="pct"/>
                  <w:vMerge w:val="restart"/>
                  <w:shd w:val="clear" w:color="auto" w:fill="FFFFFF" w:themeFill="background1"/>
                  <w:vAlign w:val="center"/>
                </w:tcPr>
                <w:p>
                  <w:pPr>
                    <w:jc w:val="center"/>
                    <w:rPr>
                      <w:rFonts w:ascii="Times New Roman" w:hAnsi="Times New Roman" w:eastAsia="宋体" w:cs="Times New Roman"/>
                      <w:kern w:val="24"/>
                      <w:szCs w:val="21"/>
                    </w:rPr>
                  </w:pPr>
                  <w:r>
                    <w:rPr>
                      <w:rFonts w:ascii="Times New Roman" w:hAnsi="Times New Roman" w:eastAsia="宋体" w:cs="Times New Roman"/>
                      <w:kern w:val="0"/>
                      <w:szCs w:val="21"/>
                    </w:rPr>
                    <w:t>委托有资质单位处置</w:t>
                  </w:r>
                  <w:r>
                    <w:rPr>
                      <w:rFonts w:hint="eastAsia" w:ascii="Times New Roman" w:hAnsi="Times New Roman" w:eastAsia="宋体" w:cs="Times New Roman"/>
                      <w:kern w:val="0"/>
                      <w:szCs w:val="21"/>
                    </w:rPr>
                    <w:t>（</w:t>
                  </w:r>
                  <w:r>
                    <w:rPr>
                      <w:rFonts w:ascii="Times New Roman" w:hAnsi="Times New Roman" w:eastAsia="宋体" w:cs="Times New Roman"/>
                      <w:kern w:val="24"/>
                      <w:szCs w:val="21"/>
                    </w:rPr>
                    <w:t>盐城新宇辉丰环保科技有限公司</w:t>
                  </w:r>
                  <w:r>
                    <w:rPr>
                      <w:rFonts w:hint="eastAsia" w:ascii="Times New Roman" w:hAnsi="Times New Roman" w:eastAsia="宋体" w:cs="Times New Roman"/>
                      <w:kern w:val="0"/>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7"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514"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废液压油</w:t>
                  </w:r>
                </w:p>
              </w:tc>
              <w:tc>
                <w:tcPr>
                  <w:tcW w:w="387"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900-218-08</w:t>
                  </w:r>
                </w:p>
              </w:tc>
              <w:tc>
                <w:tcPr>
                  <w:tcW w:w="72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632" w:type="pct"/>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highlight w:val="yellow"/>
                    </w:rPr>
                    <w:t>0.3</w:t>
                  </w:r>
                </w:p>
              </w:tc>
              <w:tc>
                <w:tcPr>
                  <w:tcW w:w="631" w:type="pct"/>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highlight w:val="yellow"/>
                    </w:rPr>
                    <w:t>0.3</w:t>
                  </w:r>
                </w:p>
              </w:tc>
              <w:tc>
                <w:tcPr>
                  <w:tcW w:w="788" w:type="pct"/>
                  <w:vMerge w:val="continue"/>
                  <w:shd w:val="clear" w:color="auto" w:fill="FFFFFF" w:themeFill="background1"/>
                  <w:vAlign w:val="center"/>
                </w:tcPr>
                <w:p>
                  <w:pPr>
                    <w:jc w:val="center"/>
                    <w:rPr>
                      <w:rFonts w:ascii="Times New Roman" w:hAnsi="Times New Roman" w:eastAsia="宋体" w:cs="Times New Roman"/>
                      <w:kern w:val="24"/>
                      <w:szCs w:val="21"/>
                    </w:rPr>
                  </w:pPr>
                </w:p>
              </w:tc>
              <w:tc>
                <w:tcPr>
                  <w:tcW w:w="859" w:type="pct"/>
                  <w:vMerge w:val="continue"/>
                  <w:shd w:val="clear" w:color="auto" w:fill="FFFFFF" w:themeFill="background1"/>
                  <w:vAlign w:val="center"/>
                </w:tcPr>
                <w:p>
                  <w:pPr>
                    <w:jc w:val="center"/>
                    <w:rPr>
                      <w:rFonts w:ascii="Times New Roman" w:hAnsi="Times New Roman" w:eastAsia="宋体" w:cs="Times New Roman"/>
                      <w:kern w:val="24"/>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7"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514"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废切削液</w:t>
                  </w:r>
                </w:p>
              </w:tc>
              <w:tc>
                <w:tcPr>
                  <w:tcW w:w="387"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900-006-09</w:t>
                  </w:r>
                </w:p>
              </w:tc>
              <w:tc>
                <w:tcPr>
                  <w:tcW w:w="72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632" w:type="pct"/>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highlight w:val="yellow"/>
                    </w:rPr>
                    <w:t>0.4</w:t>
                  </w:r>
                </w:p>
              </w:tc>
              <w:tc>
                <w:tcPr>
                  <w:tcW w:w="631" w:type="pct"/>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highlight w:val="yellow"/>
                    </w:rPr>
                    <w:t>0.4</w:t>
                  </w:r>
                </w:p>
              </w:tc>
              <w:tc>
                <w:tcPr>
                  <w:tcW w:w="788" w:type="pct"/>
                  <w:vMerge w:val="continue"/>
                  <w:shd w:val="clear" w:color="auto" w:fill="FFFFFF" w:themeFill="background1"/>
                  <w:vAlign w:val="center"/>
                </w:tcPr>
                <w:p>
                  <w:pPr>
                    <w:jc w:val="center"/>
                    <w:rPr>
                      <w:rFonts w:ascii="Times New Roman" w:hAnsi="Times New Roman" w:eastAsia="宋体" w:cs="Times New Roman"/>
                      <w:kern w:val="24"/>
                      <w:szCs w:val="21"/>
                    </w:rPr>
                  </w:pPr>
                </w:p>
              </w:tc>
              <w:tc>
                <w:tcPr>
                  <w:tcW w:w="859" w:type="pct"/>
                  <w:vMerge w:val="continue"/>
                  <w:shd w:val="clear" w:color="auto" w:fill="FFFFFF" w:themeFill="background1"/>
                  <w:vAlign w:val="center"/>
                </w:tcPr>
                <w:p>
                  <w:pPr>
                    <w:jc w:val="center"/>
                    <w:rPr>
                      <w:rFonts w:ascii="Times New Roman" w:hAnsi="Times New Roman" w:eastAsia="宋体" w:cs="Times New Roman"/>
                      <w:kern w:val="24"/>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7"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514"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废油桶</w:t>
                  </w:r>
                </w:p>
              </w:tc>
              <w:tc>
                <w:tcPr>
                  <w:tcW w:w="387"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900-249-08</w:t>
                  </w:r>
                </w:p>
              </w:tc>
              <w:tc>
                <w:tcPr>
                  <w:tcW w:w="72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632" w:type="pct"/>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highlight w:val="yellow"/>
                    </w:rPr>
                    <w:t>0.3</w:t>
                  </w:r>
                </w:p>
              </w:tc>
              <w:tc>
                <w:tcPr>
                  <w:tcW w:w="631" w:type="pct"/>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highlight w:val="yellow"/>
                    </w:rPr>
                    <w:t>0.3</w:t>
                  </w:r>
                </w:p>
              </w:tc>
              <w:tc>
                <w:tcPr>
                  <w:tcW w:w="788" w:type="pct"/>
                  <w:vMerge w:val="continue"/>
                  <w:shd w:val="clear" w:color="auto" w:fill="FFFFFF" w:themeFill="background1"/>
                  <w:vAlign w:val="center"/>
                </w:tcPr>
                <w:p>
                  <w:pPr>
                    <w:jc w:val="center"/>
                    <w:rPr>
                      <w:rFonts w:ascii="Times New Roman" w:hAnsi="Times New Roman" w:eastAsia="宋体" w:cs="Times New Roman"/>
                      <w:kern w:val="24"/>
                      <w:szCs w:val="21"/>
                    </w:rPr>
                  </w:pPr>
                </w:p>
              </w:tc>
              <w:tc>
                <w:tcPr>
                  <w:tcW w:w="859" w:type="pct"/>
                  <w:vMerge w:val="continue"/>
                  <w:shd w:val="clear" w:color="auto" w:fill="FFFFFF" w:themeFill="background1"/>
                  <w:vAlign w:val="center"/>
                </w:tcPr>
                <w:p>
                  <w:pPr>
                    <w:jc w:val="center"/>
                    <w:rPr>
                      <w:rFonts w:ascii="Times New Roman" w:hAnsi="Times New Roman" w:eastAsia="宋体" w:cs="Times New Roman"/>
                      <w:kern w:val="24"/>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7"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514"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磷化渣</w:t>
                  </w:r>
                </w:p>
              </w:tc>
              <w:tc>
                <w:tcPr>
                  <w:tcW w:w="387"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336-064-17</w:t>
                  </w:r>
                </w:p>
              </w:tc>
              <w:tc>
                <w:tcPr>
                  <w:tcW w:w="72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63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631"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788" w:type="pct"/>
                  <w:vMerge w:val="continue"/>
                  <w:shd w:val="clear" w:color="auto" w:fill="FFFFFF" w:themeFill="background1"/>
                  <w:vAlign w:val="center"/>
                </w:tcPr>
                <w:p>
                  <w:pPr>
                    <w:jc w:val="center"/>
                    <w:rPr>
                      <w:rFonts w:ascii="Times New Roman" w:hAnsi="Times New Roman" w:eastAsia="宋体" w:cs="Times New Roman"/>
                      <w:kern w:val="24"/>
                      <w:szCs w:val="21"/>
                    </w:rPr>
                  </w:pPr>
                </w:p>
              </w:tc>
              <w:tc>
                <w:tcPr>
                  <w:tcW w:w="859" w:type="pct"/>
                  <w:vMerge w:val="continue"/>
                  <w:shd w:val="clear" w:color="auto" w:fill="FFFFFF" w:themeFill="background1"/>
                  <w:vAlign w:val="center"/>
                </w:tcPr>
                <w:p>
                  <w:pPr>
                    <w:jc w:val="center"/>
                    <w:rPr>
                      <w:rFonts w:ascii="Times New Roman" w:hAnsi="Times New Roman" w:eastAsia="宋体" w:cs="Times New Roman"/>
                      <w:kern w:val="24"/>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67"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514"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污泥</w:t>
                  </w:r>
                </w:p>
              </w:tc>
              <w:tc>
                <w:tcPr>
                  <w:tcW w:w="387"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kern w:val="0"/>
                      <w:szCs w:val="21"/>
                    </w:rPr>
                    <w:t>336-064-17</w:t>
                  </w:r>
                </w:p>
              </w:tc>
              <w:tc>
                <w:tcPr>
                  <w:tcW w:w="72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632"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631"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788" w:type="pct"/>
                  <w:vMerge w:val="continue"/>
                  <w:shd w:val="clear" w:color="auto" w:fill="FFFFFF" w:themeFill="background1"/>
                  <w:vAlign w:val="center"/>
                </w:tcPr>
                <w:p>
                  <w:pPr>
                    <w:jc w:val="center"/>
                    <w:rPr>
                      <w:rFonts w:ascii="Times New Roman" w:hAnsi="Times New Roman" w:eastAsia="宋体" w:cs="Times New Roman"/>
                      <w:kern w:val="24"/>
                      <w:szCs w:val="21"/>
                    </w:rPr>
                  </w:pPr>
                </w:p>
              </w:tc>
              <w:tc>
                <w:tcPr>
                  <w:tcW w:w="859" w:type="pct"/>
                  <w:vMerge w:val="continue"/>
                  <w:shd w:val="clear" w:color="auto" w:fill="FFFFFF" w:themeFill="background1"/>
                  <w:vAlign w:val="center"/>
                </w:tcPr>
                <w:p>
                  <w:pPr>
                    <w:jc w:val="center"/>
                    <w:rPr>
                      <w:rFonts w:ascii="Times New Roman" w:hAnsi="Times New Roman" w:eastAsia="宋体" w:cs="Times New Roman"/>
                      <w:kern w:val="24"/>
                      <w:szCs w:val="21"/>
                    </w:rPr>
                  </w:pP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本项目厂区内危废仓库详情如下图所示：</w:t>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drawing>
                <wp:inline distT="0" distB="0" distL="0" distR="0">
                  <wp:extent cx="2699385" cy="2699385"/>
                  <wp:effectExtent l="0" t="0" r="5715" b="5715"/>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r>
              <w:drawing>
                <wp:inline distT="0" distB="0" distL="0" distR="0">
                  <wp:extent cx="2699385" cy="2699385"/>
                  <wp:effectExtent l="0" t="0" r="571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00000" cy="2700000"/>
                          </a:xfrm>
                          <a:prstGeom prst="rect">
                            <a:avLst/>
                          </a:prstGeom>
                          <a:noFill/>
                          <a:ln>
                            <a:noFill/>
                          </a:ln>
                        </pic:spPr>
                      </pic:pic>
                    </a:graphicData>
                  </a:graphic>
                </wp:inline>
              </w:drawing>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危险废物标识标牌</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危险废物管理制度</w:t>
            </w:r>
          </w:p>
          <w:p>
            <w:pPr>
              <w:spacing w:line="360" w:lineRule="auto"/>
              <w:jc w:val="center"/>
              <w:rPr>
                <w:b/>
                <w:bCs/>
              </w:rPr>
            </w:pPr>
            <w:r>
              <w:rPr>
                <w:b/>
                <w:bCs/>
              </w:rPr>
              <w:drawing>
                <wp:inline distT="0" distB="0" distL="0" distR="0">
                  <wp:extent cx="4229735" cy="23774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236787" cy="2381599"/>
                          </a:xfrm>
                          <a:prstGeom prst="rect">
                            <a:avLst/>
                          </a:prstGeom>
                          <a:noFill/>
                          <a:ln>
                            <a:noFill/>
                          </a:ln>
                        </pic:spPr>
                      </pic:pic>
                    </a:graphicData>
                  </a:graphic>
                </wp:inline>
              </w:drawing>
            </w:r>
          </w:p>
          <w:p>
            <w:pPr>
              <w:spacing w:line="360" w:lineRule="auto"/>
              <w:jc w:val="center"/>
              <w:rPr>
                <w:b/>
                <w:bCs/>
              </w:rPr>
            </w:pPr>
            <w:r>
              <w:rPr>
                <w:rFonts w:hint="eastAsia" w:ascii="Times New Roman" w:hAnsi="Times New Roman" w:eastAsia="宋体" w:cs="Times New Roman"/>
                <w:b/>
                <w:bCs/>
                <w:sz w:val="24"/>
              </w:rPr>
              <w:t>危险废物仓库实物图</w:t>
            </w:r>
          </w:p>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（5）环保设施投资落实情况</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本项目环保设施投资落实情况如下表3</w:t>
            </w:r>
            <w:r>
              <w:rPr>
                <w:rFonts w:ascii="Times New Roman" w:hAnsi="Times New Roman" w:eastAsia="宋体" w:cs="Times New Roman"/>
                <w:sz w:val="24"/>
              </w:rPr>
              <w:t>-3</w:t>
            </w:r>
            <w:r>
              <w:rPr>
                <w:rFonts w:hint="eastAsia" w:ascii="Times New Roman" w:hAnsi="Times New Roman" w:eastAsia="宋体" w:cs="Times New Roman"/>
                <w:sz w:val="24"/>
              </w:rPr>
              <w:t>所示：</w:t>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表3</w:t>
            </w:r>
            <w:r>
              <w:rPr>
                <w:rFonts w:hint="eastAsia" w:ascii="Times New Roman" w:hAnsi="Times New Roman" w:eastAsia="宋体" w:cs="Times New Roman"/>
                <w:b/>
                <w:bCs/>
                <w:sz w:val="24"/>
              </w:rPr>
              <w:t>-</w:t>
            </w:r>
            <w:r>
              <w:rPr>
                <w:rFonts w:ascii="Times New Roman" w:hAnsi="Times New Roman" w:eastAsia="宋体" w:cs="Times New Roman"/>
                <w:b/>
                <w:bCs/>
                <w:sz w:val="24"/>
              </w:rPr>
              <w:t>3  项目环保投资一览表</w:t>
            </w:r>
          </w:p>
          <w:tbl>
            <w:tblPr>
              <w:tblStyle w:val="1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58"/>
              <w:gridCol w:w="1701"/>
              <w:gridCol w:w="2413"/>
              <w:gridCol w:w="1758"/>
              <w:gridCol w:w="175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8"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项目名称</w:t>
                  </w:r>
                </w:p>
              </w:tc>
              <w:tc>
                <w:tcPr>
                  <w:tcW w:w="1701"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污染源</w:t>
                  </w:r>
                </w:p>
              </w:tc>
              <w:tc>
                <w:tcPr>
                  <w:tcW w:w="2413"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污染治理措施</w:t>
                  </w:r>
                </w:p>
              </w:tc>
              <w:tc>
                <w:tcPr>
                  <w:tcW w:w="1758"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环评环保投资（单位：万元）</w:t>
                  </w:r>
                </w:p>
              </w:tc>
              <w:tc>
                <w:tcPr>
                  <w:tcW w:w="1758"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实际环保投资（单位：万元）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废气</w:t>
                  </w:r>
                </w:p>
              </w:tc>
              <w:tc>
                <w:tcPr>
                  <w:tcW w:w="1701"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喷砂、抛丸产生的颗粒物</w:t>
                  </w:r>
                </w:p>
              </w:tc>
              <w:tc>
                <w:tcPr>
                  <w:tcW w:w="2413"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布袋除尘</w:t>
                  </w:r>
                  <w:r>
                    <w:rPr>
                      <w:rFonts w:ascii="Times New Roman" w:hAnsi="Times New Roman" w:eastAsia="宋体" w:cs="Times New Roman"/>
                      <w:kern w:val="0"/>
                      <w:szCs w:val="21"/>
                    </w:rPr>
                    <w:t>+15m排气筒（FQ-1）</w:t>
                  </w:r>
                </w:p>
              </w:tc>
              <w:tc>
                <w:tcPr>
                  <w:tcW w:w="175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20</w:t>
                  </w:r>
                </w:p>
              </w:tc>
              <w:tc>
                <w:tcPr>
                  <w:tcW w:w="175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highlight w:val="yellow"/>
                    </w:rPr>
                    <w:t>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8"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废水</w:t>
                  </w:r>
                </w:p>
              </w:tc>
              <w:tc>
                <w:tcPr>
                  <w:tcW w:w="1701"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生活污水</w:t>
                  </w:r>
                </w:p>
              </w:tc>
              <w:tc>
                <w:tcPr>
                  <w:tcW w:w="2413"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化粪池</w:t>
                  </w:r>
                </w:p>
              </w:tc>
              <w:tc>
                <w:tcPr>
                  <w:tcW w:w="1758"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83</w:t>
                  </w:r>
                </w:p>
              </w:tc>
              <w:tc>
                <w:tcPr>
                  <w:tcW w:w="1758"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83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8"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701"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生产废水</w:t>
                  </w:r>
                </w:p>
              </w:tc>
              <w:tc>
                <w:tcPr>
                  <w:tcW w:w="241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bCs/>
                      <w:kern w:val="0"/>
                      <w:sz w:val="20"/>
                      <w:szCs w:val="21"/>
                    </w:rPr>
                    <w:t>厂内污水站(调节池+反应器+斜管沉淀池+中间水池+锰砂过滤池)</w:t>
                  </w:r>
                </w:p>
              </w:tc>
              <w:tc>
                <w:tcPr>
                  <w:tcW w:w="1758"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758"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1701"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设备噪声</w:t>
                  </w:r>
                </w:p>
              </w:tc>
              <w:tc>
                <w:tcPr>
                  <w:tcW w:w="2413"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color w:val="000000"/>
                      <w:kern w:val="0"/>
                      <w:sz w:val="20"/>
                    </w:rPr>
                    <w:t>厂房隔声、安装消声器以及设备减震</w:t>
                  </w:r>
                  <w:r>
                    <w:rPr>
                      <w:rFonts w:hint="eastAsia" w:ascii="Times New Roman" w:hAnsi="Times New Roman" w:eastAsia="宋体" w:cs="Times New Roman"/>
                      <w:kern w:val="0"/>
                      <w:szCs w:val="21"/>
                    </w:rPr>
                    <w:t>等</w:t>
                  </w:r>
                </w:p>
              </w:tc>
              <w:tc>
                <w:tcPr>
                  <w:tcW w:w="175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75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8"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固废</w:t>
                  </w:r>
                </w:p>
              </w:tc>
              <w:tc>
                <w:tcPr>
                  <w:tcW w:w="1701"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一般工业</w:t>
                  </w:r>
                  <w:r>
                    <w:rPr>
                      <w:rFonts w:ascii="Times New Roman" w:hAnsi="Times New Roman" w:eastAsia="宋体" w:cs="Times New Roman"/>
                      <w:kern w:val="0"/>
                      <w:szCs w:val="21"/>
                    </w:rPr>
                    <w:t>固废</w:t>
                  </w:r>
                </w:p>
              </w:tc>
              <w:tc>
                <w:tcPr>
                  <w:tcW w:w="2413"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外售综合利用</w:t>
                  </w:r>
                </w:p>
              </w:tc>
              <w:tc>
                <w:tcPr>
                  <w:tcW w:w="1758"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1758"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8"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701"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危险废物</w:t>
                  </w:r>
                </w:p>
              </w:tc>
              <w:tc>
                <w:tcPr>
                  <w:tcW w:w="2413"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委托有资质单位处置</w:t>
                  </w:r>
                </w:p>
              </w:tc>
              <w:tc>
                <w:tcPr>
                  <w:tcW w:w="1758"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758"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58"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701"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生活垃圾</w:t>
                  </w:r>
                </w:p>
              </w:tc>
              <w:tc>
                <w:tcPr>
                  <w:tcW w:w="2413"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交由环卫部门处置</w:t>
                  </w:r>
                </w:p>
              </w:tc>
              <w:tc>
                <w:tcPr>
                  <w:tcW w:w="1758"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758"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158"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排污口</w:t>
                  </w:r>
                  <w:r>
                    <w:rPr>
                      <w:rFonts w:ascii="Times New Roman" w:hAnsi="Times New Roman" w:eastAsia="宋体" w:cs="Times New Roman"/>
                      <w:kern w:val="0"/>
                      <w:szCs w:val="21"/>
                    </w:rPr>
                    <w:t>规范设置</w:t>
                  </w:r>
                </w:p>
              </w:tc>
              <w:tc>
                <w:tcPr>
                  <w:tcW w:w="4114" w:type="dxa"/>
                  <w:gridSpan w:val="2"/>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雨水</w:t>
                  </w:r>
                  <w:r>
                    <w:rPr>
                      <w:rFonts w:ascii="Times New Roman" w:hAnsi="Times New Roman" w:eastAsia="宋体" w:cs="Times New Roman"/>
                      <w:kern w:val="0"/>
                      <w:szCs w:val="21"/>
                    </w:rPr>
                    <w:t>排污</w:t>
                  </w:r>
                  <w:r>
                    <w:rPr>
                      <w:rFonts w:hint="eastAsia" w:ascii="Times New Roman" w:hAnsi="Times New Roman" w:eastAsia="宋体" w:cs="Times New Roman"/>
                      <w:kern w:val="0"/>
                      <w:szCs w:val="21"/>
                    </w:rPr>
                    <w:t>等</w:t>
                  </w:r>
                  <w:r>
                    <w:rPr>
                      <w:rFonts w:ascii="Times New Roman" w:hAnsi="Times New Roman" w:eastAsia="宋体" w:cs="Times New Roman"/>
                      <w:kern w:val="0"/>
                      <w:szCs w:val="21"/>
                    </w:rPr>
                    <w:t>标识牌、说明</w:t>
                  </w:r>
                </w:p>
              </w:tc>
              <w:tc>
                <w:tcPr>
                  <w:tcW w:w="175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75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15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合计</w:t>
                  </w:r>
                </w:p>
              </w:tc>
              <w:tc>
                <w:tcPr>
                  <w:tcW w:w="4114" w:type="dxa"/>
                  <w:gridSpan w:val="2"/>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1758"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1</w:t>
                  </w:r>
                  <w:r>
                    <w:rPr>
                      <w:rFonts w:ascii="Times New Roman" w:hAnsi="Times New Roman" w:eastAsia="宋体" w:cs="Times New Roman"/>
                      <w:kern w:val="0"/>
                      <w:szCs w:val="21"/>
                    </w:rPr>
                    <w:t>20</w:t>
                  </w:r>
                </w:p>
              </w:tc>
              <w:tc>
                <w:tcPr>
                  <w:tcW w:w="1758"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highlight w:val="yellow"/>
                    </w:rPr>
                    <w:t>1</w:t>
                  </w:r>
                  <w:r>
                    <w:rPr>
                      <w:rFonts w:ascii="Times New Roman" w:hAnsi="Times New Roman" w:eastAsia="宋体" w:cs="Times New Roman"/>
                      <w:kern w:val="0"/>
                      <w:szCs w:val="21"/>
                      <w:highlight w:val="yellow"/>
                    </w:rPr>
                    <w:t>40</w:t>
                  </w:r>
                </w:p>
              </w:tc>
            </w:tr>
          </w:tbl>
          <w:p>
            <w:pPr>
              <w:spacing w:line="360" w:lineRule="auto"/>
              <w:jc w:val="left"/>
              <w:rPr>
                <w:rFonts w:ascii="Times New Roman" w:hAnsi="Times New Roman" w:eastAsia="宋体" w:cs="Times New Roman"/>
                <w:sz w:val="24"/>
              </w:rPr>
            </w:pPr>
          </w:p>
          <w:p>
            <w:pPr>
              <w:spacing w:line="360" w:lineRule="auto"/>
              <w:jc w:val="left"/>
              <w:rPr>
                <w:rFonts w:ascii="Times New Roman" w:hAnsi="Times New Roman" w:eastAsia="宋体" w:cs="Times New Roman"/>
                <w:sz w:val="24"/>
              </w:rPr>
            </w:pPr>
          </w:p>
          <w:p>
            <w:pPr>
              <w:spacing w:line="360" w:lineRule="auto"/>
              <w:jc w:val="left"/>
              <w:rPr>
                <w:rFonts w:ascii="Times New Roman" w:hAnsi="Times New Roman" w:eastAsia="宋体" w:cs="Times New Roman"/>
                <w:sz w:val="24"/>
              </w:rPr>
            </w:pPr>
          </w:p>
          <w:p>
            <w:pPr>
              <w:spacing w:line="360" w:lineRule="auto"/>
              <w:jc w:val="left"/>
              <w:rPr>
                <w:rFonts w:ascii="Times New Roman" w:hAnsi="Times New Roman" w:eastAsia="宋体" w:cs="Times New Roman"/>
                <w:sz w:val="24"/>
              </w:rPr>
            </w:pPr>
          </w:p>
          <w:p>
            <w:pPr>
              <w:spacing w:line="360" w:lineRule="auto"/>
              <w:jc w:val="left"/>
              <w:rPr>
                <w:rFonts w:ascii="Times New Roman" w:hAnsi="Times New Roman" w:eastAsia="宋体" w:cs="Times New Roman"/>
                <w:sz w:val="24"/>
              </w:rPr>
            </w:pPr>
          </w:p>
          <w:p>
            <w:pPr>
              <w:spacing w:line="360" w:lineRule="auto"/>
              <w:jc w:val="left"/>
              <w:rPr>
                <w:rFonts w:ascii="Times New Roman" w:hAnsi="Times New Roman" w:eastAsia="宋体" w:cs="Times New Roman"/>
                <w:sz w:val="24"/>
              </w:rPr>
            </w:pPr>
          </w:p>
          <w:p>
            <w:pPr>
              <w:spacing w:line="360" w:lineRule="auto"/>
              <w:jc w:val="left"/>
              <w:rPr>
                <w:rFonts w:ascii="Times New Roman" w:hAnsi="Times New Roman" w:eastAsia="宋体" w:cs="Times New Roman"/>
                <w:sz w:val="24"/>
              </w:rPr>
            </w:pPr>
          </w:p>
          <w:p>
            <w:pPr>
              <w:spacing w:line="360" w:lineRule="auto"/>
              <w:jc w:val="left"/>
              <w:rPr>
                <w:rFonts w:ascii="Times New Roman" w:hAnsi="Times New Roman" w:eastAsia="宋体" w:cs="Times New Roman"/>
                <w:sz w:val="24"/>
              </w:rPr>
            </w:pPr>
          </w:p>
          <w:p>
            <w:pPr>
              <w:spacing w:line="360" w:lineRule="auto"/>
              <w:jc w:val="left"/>
              <w:rPr>
                <w:rFonts w:ascii="Times New Roman" w:hAnsi="Times New Roman" w:eastAsia="宋体" w:cs="Times New Roman"/>
                <w:sz w:val="24"/>
              </w:rPr>
            </w:pPr>
          </w:p>
          <w:p>
            <w:pPr>
              <w:spacing w:line="360" w:lineRule="auto"/>
              <w:jc w:val="left"/>
              <w:rPr>
                <w:rFonts w:ascii="Times New Roman" w:hAnsi="Times New Roman" w:eastAsia="宋体" w:cs="Times New Roman"/>
                <w:sz w:val="24"/>
              </w:rPr>
            </w:pPr>
          </w:p>
          <w:p>
            <w:pPr>
              <w:spacing w:line="360" w:lineRule="auto"/>
              <w:jc w:val="left"/>
              <w:rPr>
                <w:rFonts w:ascii="Times New Roman" w:hAnsi="Times New Roman" w:eastAsia="宋体" w:cs="Times New Roman"/>
                <w:sz w:val="24"/>
              </w:rPr>
            </w:pPr>
          </w:p>
          <w:p>
            <w:pPr>
              <w:spacing w:line="360" w:lineRule="auto"/>
              <w:jc w:val="left"/>
              <w:rPr>
                <w:rFonts w:ascii="Times New Roman" w:hAnsi="Times New Roman" w:eastAsia="宋体" w:cs="Times New Roman"/>
                <w:sz w:val="24"/>
              </w:rPr>
            </w:pPr>
          </w:p>
          <w:p>
            <w:pPr>
              <w:spacing w:line="360" w:lineRule="auto"/>
              <w:jc w:val="left"/>
              <w:rPr>
                <w:rFonts w:ascii="Times New Roman" w:hAnsi="Times New Roman" w:eastAsia="宋体" w:cs="Times New Roman"/>
                <w:sz w:val="24"/>
              </w:rPr>
            </w:pPr>
          </w:p>
        </w:tc>
      </w:tr>
    </w:tbl>
    <w:p>
      <w:pPr>
        <w:widowControl/>
        <w:jc w:val="left"/>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br w:type="page"/>
      </w:r>
    </w:p>
    <w:p>
      <w:pPr>
        <w:outlineLvl w:val="0"/>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表四 环评报告主要结论及审批部门审批决定</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14" w:type="dxa"/>
            <w:vAlign w:val="center"/>
          </w:tcPr>
          <w:p>
            <w:pPr>
              <w:spacing w:line="360" w:lineRule="auto"/>
              <w:jc w:val="left"/>
              <w:rPr>
                <w:rFonts w:ascii="Times New Roman" w:hAnsi="Times New Roman" w:eastAsia="宋体" w:cs="Times New Roman"/>
                <w:b/>
                <w:bCs/>
                <w:sz w:val="24"/>
              </w:rPr>
            </w:pPr>
            <w:r>
              <w:rPr>
                <w:rFonts w:ascii="Times New Roman" w:hAnsi="Times New Roman" w:eastAsia="宋体" w:cs="Times New Roman"/>
                <w:b/>
                <w:bCs/>
                <w:sz w:val="24"/>
              </w:rPr>
              <w:t>一、</w:t>
            </w:r>
            <w:r>
              <w:rPr>
                <w:rFonts w:hint="eastAsia" w:ascii="Times New Roman" w:hAnsi="Times New Roman" w:eastAsia="宋体" w:cs="Times New Roman"/>
                <w:b/>
                <w:bCs/>
                <w:sz w:val="24"/>
              </w:rPr>
              <w:t>建设项目环评报告表的主要结论与建议</w:t>
            </w:r>
            <w:r>
              <w:rPr>
                <w:rFonts w:ascii="Times New Roman" w:hAnsi="Times New Roman" w:eastAsia="宋体" w:cs="Times New Roman"/>
                <w:b/>
                <w:bCs/>
                <w:sz w:val="24"/>
              </w:rPr>
              <w:t>：</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根据《江苏乐开机电有限公司冷锻产品和模具加工建设</w:t>
            </w:r>
            <w:r>
              <w:rPr>
                <w:rFonts w:ascii="Times New Roman" w:hAnsi="Times New Roman" w:eastAsia="宋体" w:cs="Times New Roman"/>
                <w:sz w:val="24"/>
              </w:rPr>
              <w:t>项目环境影响报告表》</w:t>
            </w:r>
            <w:r>
              <w:rPr>
                <w:rFonts w:hint="eastAsia" w:ascii="Times New Roman" w:hAnsi="Times New Roman" w:eastAsia="宋体" w:cs="Times New Roman"/>
                <w:sz w:val="24"/>
              </w:rPr>
              <w:t>（</w:t>
            </w:r>
            <w:r>
              <w:rPr>
                <w:rFonts w:ascii="Times New Roman" w:hAnsi="Times New Roman" w:eastAsia="宋体" w:cs="Times New Roman"/>
                <w:sz w:val="24"/>
              </w:rPr>
              <w:t>江苏南大环保科技有限公司）</w:t>
            </w:r>
            <w:r>
              <w:rPr>
                <w:rFonts w:hint="eastAsia" w:ascii="Times New Roman" w:hAnsi="Times New Roman" w:eastAsia="宋体" w:cs="Times New Roman"/>
                <w:sz w:val="24"/>
              </w:rPr>
              <w:t>，环评报告表的主要结论与建议的符合性分析如下表4</w:t>
            </w:r>
            <w:r>
              <w:rPr>
                <w:rFonts w:ascii="Times New Roman" w:hAnsi="Times New Roman" w:eastAsia="宋体" w:cs="Times New Roman"/>
                <w:sz w:val="24"/>
              </w:rPr>
              <w:t>-1</w:t>
            </w:r>
            <w:r>
              <w:rPr>
                <w:rFonts w:hint="eastAsia" w:ascii="Times New Roman" w:hAnsi="Times New Roman" w:eastAsia="宋体" w:cs="Times New Roman"/>
                <w:sz w:val="24"/>
              </w:rPr>
              <w:t>所示：</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 xml:space="preserve">4-1  </w:t>
            </w:r>
            <w:r>
              <w:rPr>
                <w:rFonts w:hint="eastAsia" w:ascii="Times New Roman" w:hAnsi="Times New Roman" w:eastAsia="宋体" w:cs="Times New Roman"/>
                <w:b/>
                <w:bCs/>
                <w:sz w:val="24"/>
              </w:rPr>
              <w:t>环评报告表主要结论与建议符合性分析</w:t>
            </w:r>
          </w:p>
          <w:tbl>
            <w:tblPr>
              <w:tblStyle w:val="1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33"/>
              <w:gridCol w:w="4107"/>
              <w:gridCol w:w="2976"/>
              <w:gridCol w:w="97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3"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类别</w:t>
                  </w:r>
                </w:p>
              </w:tc>
              <w:tc>
                <w:tcPr>
                  <w:tcW w:w="4107"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环评报告表主要结论与建议</w:t>
                  </w:r>
                </w:p>
              </w:tc>
              <w:tc>
                <w:tcPr>
                  <w:tcW w:w="2976"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本项目实施情况</w:t>
                  </w:r>
                </w:p>
              </w:tc>
              <w:tc>
                <w:tcPr>
                  <w:tcW w:w="972"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符合性分析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废水</w:t>
                  </w:r>
                </w:p>
              </w:tc>
              <w:tc>
                <w:tcPr>
                  <w:tcW w:w="4107"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建设项目废水主要为生活废水和生产废水。生活废水经化粪池处理；生产废水经厂区自建污水站处理后通过市政管网排入盐城市大丰经济开发区污水处理厂。建设项目所排放废水污染因子成分简单，排放量较小，经预处理后满足大丰经济开发区污水处理厂接管要求，不会对污水厂水质水量造成冲击，具有可接管性。</w:t>
                  </w:r>
                </w:p>
              </w:tc>
              <w:tc>
                <w:tcPr>
                  <w:tcW w:w="29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建设项目废水主要为员工生活废水和生产废水。员工生活废水产生量为800m</w:t>
                  </w:r>
                  <w:r>
                    <w:rPr>
                      <w:rFonts w:ascii="Times New Roman" w:hAnsi="Times New Roman" w:eastAsia="宋体" w:cs="Times New Roman"/>
                      <w:kern w:val="0"/>
                      <w:szCs w:val="21"/>
                      <w:vertAlign w:val="superscript"/>
                    </w:rPr>
                    <w:t>3</w:t>
                  </w:r>
                  <w:r>
                    <w:rPr>
                      <w:rFonts w:ascii="Times New Roman" w:hAnsi="Times New Roman" w:eastAsia="宋体" w:cs="Times New Roman"/>
                      <w:kern w:val="0"/>
                      <w:szCs w:val="21"/>
                    </w:rPr>
                    <w:t>/a</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经过厂区化粪池处理后</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生产废水进入厂区自建污水处理站进行集中处理后达到接管标准后，与生活废水</w:t>
                  </w:r>
                  <w:r>
                    <w:rPr>
                      <w:rFonts w:hint="eastAsia" w:ascii="Times New Roman" w:hAnsi="Times New Roman" w:eastAsia="宋体" w:cs="Times New Roman"/>
                      <w:kern w:val="0"/>
                      <w:szCs w:val="21"/>
                    </w:rPr>
                    <w:t>并管后</w:t>
                  </w:r>
                  <w:r>
                    <w:rPr>
                      <w:rFonts w:ascii="Times New Roman" w:hAnsi="Times New Roman" w:eastAsia="宋体" w:cs="Times New Roman"/>
                      <w:kern w:val="0"/>
                      <w:szCs w:val="21"/>
                    </w:rPr>
                    <w:t>通过市政管网排入盐城市大丰经济开发区污水处理厂集中处理。尾水达到《城镇污水处理厂污染物排放标准》（GB18918-2002）表1中一级A标准后排入老斗龙港，符合环评设计要求。</w:t>
                  </w:r>
                </w:p>
              </w:tc>
              <w:tc>
                <w:tcPr>
                  <w:tcW w:w="97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废气</w:t>
                  </w:r>
                </w:p>
              </w:tc>
              <w:tc>
                <w:tcPr>
                  <w:tcW w:w="4107"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建设项目有组织废气：4#生产车间颗粒物经两套布袋除尘处理设施处理后统一通过FQ-1排气筒达标排放；无组织废气主要为未被捕集废气；在加强车间内机械通风，为员工配备必要的劳保用品，如口罩等措施，不会对员工身体健康及周围大气环境产生明显不良影响。</w:t>
                  </w:r>
                </w:p>
              </w:tc>
              <w:tc>
                <w:tcPr>
                  <w:tcW w:w="29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本项目运营期废气主要为抛丸工段、喷砂工段产生。经两套布袋除尘处理设施处理后统一通过FO-1排气筒达标排放；无组织废气通过加强车间通风、绿化吸收等方法可有效减少污染，对周边大气环境影响较小。</w:t>
                  </w:r>
                </w:p>
              </w:tc>
              <w:tc>
                <w:tcPr>
                  <w:tcW w:w="97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4107"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本项目噪声主要来源于生产过程中圆盘锯、带锯、点压机、压力机、液压机、抛丸机、喷砂机、空压机、数控车床、普通车床、电火花成型机、线切割机床、磨床、数控上拉式机床、精密卧式珩磨机、数控卡盘车床、提升泵等设备运行时产生的噪声，其源强为80~85dB(A)。为减少噪声源对外环境的影响，通过对噪声设备采取厂房隔声、安装消声器以及设备减震等处理。</w:t>
                  </w:r>
                  <w:r>
                    <w:rPr>
                      <w:rFonts w:ascii="Times New Roman" w:hAnsi="Times New Roman" w:eastAsia="宋体" w:cs="Times New Roman"/>
                      <w:kern w:val="0"/>
                      <w:szCs w:val="21"/>
                    </w:rPr>
                    <w:t>经预测本项目区域满足《工业企业厂界环境噪声排放标准》（GB12348-2008）中3类标准，不会改变周围环境噪声现状。</w:t>
                  </w:r>
                </w:p>
              </w:tc>
              <w:tc>
                <w:tcPr>
                  <w:tcW w:w="29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本项目噪声主要来源于生产过程中圆盘锯、带锯、点压机、压力机、液压机、抛丸机、喷砂机、空压机、数控车床、普通车床、电火花成型机、线切割机床、磨床、数控上拉式机床、精密卧式珩磨机、数控卡盘车床、提升泵等设备运行时产生的噪声，其源强为80~85dB(A)。为减少噪声源对外环境的影响，通过噪声设备采取厂房隔声、安装消声器以及设备减震</w:t>
                  </w:r>
                  <w:r>
                    <w:rPr>
                      <w:rFonts w:ascii="Times New Roman" w:hAnsi="Times New Roman" w:eastAsia="宋体" w:cs="Times New Roman"/>
                      <w:kern w:val="0"/>
                      <w:szCs w:val="21"/>
                    </w:rPr>
                    <w:t>后能满足《工业企业厂界环境噪声排放标准》（GB12348-2008）表1中的3类标准要求。</w:t>
                  </w:r>
                </w:p>
              </w:tc>
              <w:tc>
                <w:tcPr>
                  <w:tcW w:w="97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73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固废</w:t>
                  </w:r>
                </w:p>
              </w:tc>
              <w:tc>
                <w:tcPr>
                  <w:tcW w:w="4107"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建设项目一般工业固体废物金属废料、氧化皮废料外售综合利用，生活垃圾、废布袋交由环卫部门统一处理；危险废物废切削液、废润滑油、废液压油、废油桶、磷化渣、污泥委托有资质的单位处理；对周围环境影响较小。</w:t>
                  </w:r>
                </w:p>
              </w:tc>
              <w:tc>
                <w:tcPr>
                  <w:tcW w:w="29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本项目一般固体废物外售处置，生活垃圾和废布袋由环卫部门统一处置，危险废物废切削液、废润滑油、废液压油、废油桶、磷化渣、污泥委托有资质的单位处理，固废可实现零排放，对周围环境影响较小。</w:t>
                  </w:r>
                </w:p>
              </w:tc>
              <w:tc>
                <w:tcPr>
                  <w:tcW w:w="97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总量控制</w:t>
                  </w:r>
                </w:p>
              </w:tc>
              <w:tc>
                <w:tcPr>
                  <w:tcW w:w="4107"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本项目废气排放量分别为：颗粒物0.28t/a；废水主要外排水为生活废水，无需申请总量；固废实现零排放，无需申请总量。</w:t>
                  </w:r>
                </w:p>
              </w:tc>
              <w:tc>
                <w:tcPr>
                  <w:tcW w:w="29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本项目废气排放量分别为：颗粒物0.22t/a，符合总量控制要求；废水主要外排水为生活废水、生产废水，接入开发区污水处理厂纳管排放，无需申请总量，固废实现零排放。 </w:t>
                  </w:r>
                </w:p>
              </w:tc>
              <w:tc>
                <w:tcPr>
                  <w:tcW w:w="97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73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环境管理</w:t>
                  </w:r>
                </w:p>
              </w:tc>
              <w:tc>
                <w:tcPr>
                  <w:tcW w:w="4107"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应按照企业运作方式，落实企业领导和各部门的责任制，做好组织和管理工作，对项目施工人员、管理人员和职工进行必要的环保知识培训，增强环保意识。</w:t>
                  </w:r>
                </w:p>
              </w:tc>
              <w:tc>
                <w:tcPr>
                  <w:tcW w:w="297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本项目建立健全的组织机构，明确管理职责和制度；严格执行环保“三同时”制度。</w:t>
                  </w:r>
                </w:p>
              </w:tc>
              <w:tc>
                <w:tcPr>
                  <w:tcW w:w="97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bl>
          <w:p>
            <w:pPr>
              <w:spacing w:line="360" w:lineRule="auto"/>
              <w:ind w:firstLine="480" w:firstLineChars="200"/>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14" w:type="dxa"/>
            <w:vAlign w:val="center"/>
          </w:tcPr>
          <w:p>
            <w:pPr>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二</w:t>
            </w:r>
            <w:r>
              <w:rPr>
                <w:rFonts w:ascii="Times New Roman" w:hAnsi="Times New Roman" w:eastAsia="宋体" w:cs="Times New Roman"/>
                <w:b/>
                <w:bCs/>
                <w:sz w:val="24"/>
              </w:rPr>
              <w:t>、</w:t>
            </w:r>
            <w:r>
              <w:rPr>
                <w:rFonts w:hint="eastAsia" w:ascii="Times New Roman" w:hAnsi="Times New Roman" w:eastAsia="宋体" w:cs="Times New Roman"/>
                <w:b/>
                <w:bCs/>
                <w:sz w:val="24"/>
              </w:rPr>
              <w:t>审批部门审批决定</w:t>
            </w:r>
            <w:r>
              <w:rPr>
                <w:rFonts w:ascii="Times New Roman" w:hAnsi="Times New Roman" w:eastAsia="宋体" w:cs="Times New Roman"/>
                <w:b/>
                <w:bCs/>
                <w:sz w:val="24"/>
              </w:rPr>
              <w:t>：</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根据盐城市大丰区行政审批局《江苏省乐开机电有限公司冷锻产品和模具加工建设</w:t>
            </w:r>
            <w:r>
              <w:rPr>
                <w:rFonts w:ascii="Times New Roman" w:hAnsi="Times New Roman" w:eastAsia="宋体" w:cs="Times New Roman"/>
                <w:sz w:val="24"/>
              </w:rPr>
              <w:t>项目环境影响报告表的审批意见》（</w:t>
            </w:r>
            <w:r>
              <w:rPr>
                <w:rFonts w:hint="eastAsia" w:ascii="Times New Roman" w:hAnsi="Times New Roman" w:eastAsia="宋体" w:cs="Times New Roman"/>
                <w:sz w:val="24"/>
              </w:rPr>
              <w:t>盐环表复</w:t>
            </w:r>
            <w:r>
              <w:rPr>
                <w:rFonts w:ascii="Times New Roman" w:hAnsi="Times New Roman" w:eastAsia="宋体" w:cs="Times New Roman"/>
                <w:sz w:val="24"/>
              </w:rPr>
              <w:t>[2021]82131号）</w:t>
            </w:r>
            <w:r>
              <w:rPr>
                <w:rFonts w:hint="eastAsia" w:ascii="Times New Roman" w:hAnsi="Times New Roman" w:eastAsia="宋体" w:cs="Times New Roman"/>
                <w:sz w:val="24"/>
              </w:rPr>
              <w:t>，审批意见的要求符合性分析如表4</w:t>
            </w:r>
            <w:r>
              <w:rPr>
                <w:rFonts w:ascii="Times New Roman" w:hAnsi="Times New Roman" w:eastAsia="宋体" w:cs="Times New Roman"/>
                <w:sz w:val="24"/>
              </w:rPr>
              <w:t>-2</w:t>
            </w:r>
            <w:r>
              <w:rPr>
                <w:rFonts w:hint="eastAsia" w:ascii="Times New Roman" w:hAnsi="Times New Roman" w:eastAsia="宋体" w:cs="Times New Roman"/>
                <w:sz w:val="24"/>
              </w:rPr>
              <w:t>所示。</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 xml:space="preserve">4-2  </w:t>
            </w:r>
            <w:r>
              <w:rPr>
                <w:rFonts w:hint="eastAsia" w:ascii="Times New Roman" w:hAnsi="Times New Roman" w:eastAsia="宋体" w:cs="Times New Roman"/>
                <w:b/>
                <w:bCs/>
                <w:sz w:val="24"/>
              </w:rPr>
              <w:t>批复要求符合性分析</w:t>
            </w:r>
          </w:p>
          <w:tbl>
            <w:tblPr>
              <w:tblStyle w:val="17"/>
              <w:tblW w:w="8819"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591"/>
              <w:gridCol w:w="3260"/>
              <w:gridCol w:w="968"/>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b/>
                      <w:bCs/>
                      <w:kern w:val="0"/>
                      <w:szCs w:val="21"/>
                    </w:rPr>
                  </w:pPr>
                  <w:bookmarkStart w:id="6" w:name="_Hlk114753745"/>
                  <w:r>
                    <w:rPr>
                      <w:rFonts w:ascii="Times New Roman" w:hAnsi="Times New Roman" w:eastAsia="宋体" w:cs="Times New Roman"/>
                      <w:b/>
                      <w:bCs/>
                      <w:kern w:val="0"/>
                      <w:szCs w:val="21"/>
                    </w:rPr>
                    <w:t>批复要求</w:t>
                  </w:r>
                </w:p>
              </w:tc>
              <w:tc>
                <w:tcPr>
                  <w:tcW w:w="3260"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本项目实施情况</w:t>
                  </w:r>
                </w:p>
              </w:tc>
              <w:tc>
                <w:tcPr>
                  <w:tcW w:w="968"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符合性分析</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一、根据《报告表》评价结论，</w:t>
                  </w:r>
                  <w:r>
                    <w:rPr>
                      <w:rFonts w:hint="eastAsia" w:ascii="Times New Roman" w:hAnsi="Times New Roman" w:eastAsia="宋体" w:cs="Times New Roman"/>
                      <w:kern w:val="0"/>
                      <w:szCs w:val="21"/>
                    </w:rPr>
                    <w:t>在符合生态保护红线规划、落实</w:t>
                  </w:r>
                  <w:r>
                    <w:rPr>
                      <w:rFonts w:ascii="Times New Roman" w:hAnsi="Times New Roman" w:eastAsia="宋体" w:cs="Times New Roman"/>
                      <w:kern w:val="0"/>
                      <w:szCs w:val="21"/>
                    </w:rPr>
                    <w:t>《报告表》</w:t>
                  </w:r>
                  <w:r>
                    <w:rPr>
                      <w:rFonts w:hint="eastAsia" w:ascii="Times New Roman" w:hAnsi="Times New Roman" w:eastAsia="宋体" w:cs="Times New Roman"/>
                      <w:kern w:val="0"/>
                      <w:szCs w:val="21"/>
                    </w:rPr>
                    <w:t>中提出的各项生态环境防护和环境风险防范措施的前提下，你公司拟在江苏大丰经济开发区南翔西路6</w:t>
                  </w:r>
                  <w:r>
                    <w:rPr>
                      <w:rFonts w:ascii="Times New Roman" w:hAnsi="Times New Roman" w:eastAsia="宋体" w:cs="Times New Roman"/>
                      <w:kern w:val="0"/>
                      <w:szCs w:val="21"/>
                    </w:rPr>
                    <w:t>5</w:t>
                  </w:r>
                  <w:r>
                    <w:rPr>
                      <w:rFonts w:hint="eastAsia" w:ascii="Times New Roman" w:hAnsi="Times New Roman" w:eastAsia="宋体" w:cs="Times New Roman"/>
                      <w:kern w:val="0"/>
                      <w:szCs w:val="21"/>
                    </w:rPr>
                    <w:t>号厂区内按申报内容建设的冷锻产品和模具加工建设项目具备环境可行性。项目建成后，年产9</w:t>
                  </w:r>
                  <w:r>
                    <w:rPr>
                      <w:rFonts w:ascii="Times New Roman" w:hAnsi="Times New Roman" w:eastAsia="宋体" w:cs="Times New Roman"/>
                      <w:kern w:val="0"/>
                      <w:szCs w:val="21"/>
                    </w:rPr>
                    <w:t>20</w:t>
                  </w:r>
                  <w:r>
                    <w:rPr>
                      <w:rFonts w:hint="eastAsia" w:ascii="Times New Roman" w:hAnsi="Times New Roman" w:eastAsia="宋体" w:cs="Times New Roman"/>
                      <w:kern w:val="0"/>
                      <w:szCs w:val="21"/>
                    </w:rPr>
                    <w:t>万件模具材料（约3</w:t>
                  </w:r>
                  <w:r>
                    <w:rPr>
                      <w:rFonts w:ascii="Times New Roman" w:hAnsi="Times New Roman" w:eastAsia="宋体" w:cs="Times New Roman"/>
                      <w:kern w:val="0"/>
                      <w:szCs w:val="21"/>
                    </w:rPr>
                    <w:t>000</w:t>
                  </w:r>
                  <w:r>
                    <w:rPr>
                      <w:rFonts w:hint="eastAsia" w:ascii="Times New Roman" w:hAnsi="Times New Roman" w:eastAsia="宋体" w:cs="Times New Roman"/>
                      <w:kern w:val="0"/>
                      <w:szCs w:val="21"/>
                    </w:rPr>
                    <w:t>吨）。</w:t>
                  </w:r>
                </w:p>
              </w:tc>
              <w:tc>
                <w:tcPr>
                  <w:tcW w:w="3260"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本项目建设地点为</w:t>
                  </w:r>
                  <w:r>
                    <w:rPr>
                      <w:rFonts w:hint="eastAsia" w:ascii="Times New Roman" w:hAnsi="Times New Roman" w:eastAsia="宋体" w:cs="Times New Roman"/>
                      <w:kern w:val="0"/>
                      <w:szCs w:val="21"/>
                    </w:rPr>
                    <w:t>盐城市大丰区经济开发区南翔西路6</w:t>
                  </w:r>
                  <w:r>
                    <w:rPr>
                      <w:rFonts w:ascii="Times New Roman" w:hAnsi="Times New Roman" w:eastAsia="宋体" w:cs="Times New Roman"/>
                      <w:kern w:val="0"/>
                      <w:szCs w:val="21"/>
                    </w:rPr>
                    <w:t>5</w:t>
                  </w:r>
                  <w:r>
                    <w:rPr>
                      <w:rFonts w:hint="eastAsia" w:ascii="Times New Roman" w:hAnsi="Times New Roman" w:eastAsia="宋体" w:cs="Times New Roman"/>
                      <w:kern w:val="0"/>
                      <w:szCs w:val="21"/>
                    </w:rPr>
                    <w:t>号（现有厂区4＃生产车间内）</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本项目运营期现阶段为冷锻产品和模具加工建设项目，当前年产能为9</w:t>
                  </w:r>
                  <w:r>
                    <w:rPr>
                      <w:rFonts w:ascii="Times New Roman" w:hAnsi="Times New Roman" w:eastAsia="宋体" w:cs="Times New Roman"/>
                      <w:kern w:val="0"/>
                      <w:szCs w:val="21"/>
                    </w:rPr>
                    <w:t>20</w:t>
                  </w:r>
                  <w:r>
                    <w:rPr>
                      <w:rFonts w:hint="eastAsia" w:ascii="Times New Roman" w:hAnsi="Times New Roman" w:eastAsia="宋体" w:cs="Times New Roman"/>
                      <w:kern w:val="0"/>
                      <w:szCs w:val="21"/>
                    </w:rPr>
                    <w:t>万件模具材料（约3</w:t>
                  </w:r>
                  <w:r>
                    <w:rPr>
                      <w:rFonts w:ascii="Times New Roman" w:hAnsi="Times New Roman" w:eastAsia="宋体" w:cs="Times New Roman"/>
                      <w:kern w:val="0"/>
                      <w:szCs w:val="21"/>
                    </w:rPr>
                    <w:t>000</w:t>
                  </w:r>
                  <w:r>
                    <w:rPr>
                      <w:rFonts w:hint="eastAsia" w:ascii="Times New Roman" w:hAnsi="Times New Roman" w:eastAsia="宋体" w:cs="Times New Roman"/>
                      <w:kern w:val="0"/>
                      <w:szCs w:val="21"/>
                    </w:rPr>
                    <w:t>吨）。</w:t>
                  </w:r>
                </w:p>
              </w:tc>
              <w:tc>
                <w:tcPr>
                  <w:tcW w:w="96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二、</w:t>
                  </w:r>
                  <w:r>
                    <w:rPr>
                      <w:rFonts w:hint="eastAsia" w:ascii="Times New Roman" w:hAnsi="Times New Roman" w:eastAsia="宋体" w:cs="Times New Roman"/>
                      <w:kern w:val="0"/>
                      <w:szCs w:val="21"/>
                    </w:rPr>
                    <w:t>在项目工程设计、建设和环境管理中，必须认真落实</w:t>
                  </w:r>
                  <w:r>
                    <w:rPr>
                      <w:rFonts w:ascii="Times New Roman" w:hAnsi="Times New Roman" w:eastAsia="宋体" w:cs="Times New Roman"/>
                      <w:kern w:val="0"/>
                      <w:szCs w:val="21"/>
                    </w:rPr>
                    <w:t>《报告表》</w:t>
                  </w:r>
                  <w:r>
                    <w:rPr>
                      <w:rFonts w:hint="eastAsia" w:ascii="Times New Roman" w:hAnsi="Times New Roman" w:eastAsia="宋体" w:cs="Times New Roman"/>
                      <w:kern w:val="0"/>
                      <w:szCs w:val="21"/>
                    </w:rPr>
                    <w:t>中提出的各项环保要求，严格执行环保“三同时”制度，确保各类污染物达标排放，并着重做好以下工作：1、采用先进的生产技术与设备，优化工程设计，合理布局，实施高效环境管理，提高资源合理配置和自动化水平，符合循环经济原则和清洁生产要求。</w:t>
                  </w:r>
                </w:p>
              </w:tc>
              <w:tc>
                <w:tcPr>
                  <w:tcW w:w="3260"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本项目已按《报告表》中各项环保要求进行建设，本项目采用先进的生产技术与设备，工程设计满足清洁生产需要，布局合理，制定专门的环境管理制度。</w:t>
                  </w:r>
                </w:p>
              </w:tc>
              <w:tc>
                <w:tcPr>
                  <w:tcW w:w="96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w:t>
                  </w:r>
                  <w:r>
                    <w:rPr>
                      <w:rFonts w:hint="eastAsia" w:ascii="Times New Roman" w:hAnsi="Times New Roman" w:eastAsia="宋体" w:cs="Times New Roman"/>
                      <w:kern w:val="0"/>
                      <w:szCs w:val="21"/>
                    </w:rPr>
                    <w:t>厂区排水实现清污分流。建设符合防腐防渗漏要求的磷化槽、皂化槽、清洗槽、污水处理设施等构筑物，预处理生产线废水、职工生活污水分布经厂区预处理达标接管标准后排入开发区污水处理厂集中处理。</w:t>
                  </w:r>
                </w:p>
              </w:tc>
              <w:tc>
                <w:tcPr>
                  <w:tcW w:w="3260"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本项目运营期实现雨污分流，生产废水经过厂区污水处理装置达标后，通过市政管网排入盐城市大丰经济开发区污水处理厂处理后尾水排入老斗龙港；员工生活废水经化粪池处理后达到接管标准后排入污水处理厂集中处理。</w:t>
                  </w:r>
                </w:p>
              </w:tc>
              <w:tc>
                <w:tcPr>
                  <w:tcW w:w="96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3、落实废气污染防治措施，严格控制无组织排放。喷砂、抛丸粉尘经布袋除尘装置收集处理，尾气通过1</w:t>
                  </w:r>
                  <w:r>
                    <w:rPr>
                      <w:rFonts w:ascii="Times New Roman" w:hAnsi="Times New Roman" w:eastAsia="宋体" w:cs="Times New Roman"/>
                      <w:kern w:val="0"/>
                      <w:sz w:val="20"/>
                      <w:szCs w:val="21"/>
                    </w:rPr>
                    <w:t>5</w:t>
                  </w:r>
                  <w:r>
                    <w:rPr>
                      <w:rFonts w:hint="eastAsia" w:ascii="Times New Roman" w:hAnsi="Times New Roman" w:eastAsia="宋体" w:cs="Times New Roman"/>
                      <w:kern w:val="0"/>
                      <w:sz w:val="20"/>
                      <w:szCs w:val="21"/>
                    </w:rPr>
                    <w:t>米高1＃排气筒达标排放。在项目4＃生产车间周围设置5</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米卫生防护距离，该范围内现无环境敏感目标，今后也不得建设。</w:t>
                  </w:r>
                </w:p>
              </w:tc>
              <w:tc>
                <w:tcPr>
                  <w:tcW w:w="3260"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本项目已严格落实污染防治措施，控制无组织排放。喷砂、抛丸粉尘经两套布袋除尘装置处理后通过一个1</w:t>
                  </w:r>
                  <w:r>
                    <w:rPr>
                      <w:rFonts w:ascii="Times New Roman" w:hAnsi="Times New Roman" w:eastAsia="宋体" w:cs="Times New Roman"/>
                      <w:kern w:val="0"/>
                      <w:sz w:val="20"/>
                      <w:szCs w:val="21"/>
                    </w:rPr>
                    <w:t>5</w:t>
                  </w:r>
                  <w:r>
                    <w:rPr>
                      <w:rFonts w:hint="eastAsia" w:ascii="Times New Roman" w:hAnsi="Times New Roman" w:eastAsia="宋体" w:cs="Times New Roman"/>
                      <w:kern w:val="0"/>
                      <w:sz w:val="20"/>
                      <w:szCs w:val="21"/>
                    </w:rPr>
                    <w:t>m高的排气筒达标排放，在本项目的生产车间内周围设置5</w:t>
                  </w:r>
                  <w:r>
                    <w:rPr>
                      <w:rFonts w:ascii="Times New Roman" w:hAnsi="Times New Roman" w:eastAsia="宋体" w:cs="Times New Roman"/>
                      <w:kern w:val="0"/>
                      <w:sz w:val="20"/>
                      <w:szCs w:val="21"/>
                    </w:rPr>
                    <w:t>0</w:t>
                  </w:r>
                  <w:r>
                    <w:rPr>
                      <w:rFonts w:hint="eastAsia" w:ascii="Times New Roman" w:hAnsi="Times New Roman" w:eastAsia="宋体" w:cs="Times New Roman"/>
                      <w:kern w:val="0"/>
                      <w:sz w:val="20"/>
                      <w:szCs w:val="21"/>
                    </w:rPr>
                    <w:t>m卫生防护距离，并且该范围内无环境敏感目标，今后也不再建设</w:t>
                  </w:r>
                </w:p>
              </w:tc>
              <w:tc>
                <w:tcPr>
                  <w:tcW w:w="968" w:type="dxa"/>
                  <w:shd w:val="clear" w:color="auto" w:fill="FFFFFF" w:themeFill="background1"/>
                  <w:vAlign w:val="center"/>
                </w:tcPr>
                <w:p>
                  <w:pPr>
                    <w:jc w:val="center"/>
                    <w:rPr>
                      <w:rFonts w:ascii="Times New Roman" w:hAnsi="Times New Roman" w:eastAsia="宋体" w:cs="Times New Roman"/>
                      <w:kern w:val="0"/>
                      <w:sz w:val="2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4、选用低噪声、低振动设备，合理布局，并采用有效的隔声、吸声、减振等降噪措施，合理安排工作时间，确保厂界噪声达标不扰民</w:t>
                  </w:r>
                </w:p>
              </w:tc>
              <w:tc>
                <w:tcPr>
                  <w:tcW w:w="3260"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本项目已选用低噪声、低振动设备，合理布局，并采用有效的隔声、吸声、减振等降噪措施，合理安排工作时间，确保厂界噪声达标不扰民</w:t>
                  </w:r>
                </w:p>
              </w:tc>
              <w:tc>
                <w:tcPr>
                  <w:tcW w:w="968" w:type="dxa"/>
                  <w:shd w:val="clear" w:color="auto" w:fill="FFFFFF" w:themeFill="background1"/>
                  <w:vAlign w:val="center"/>
                </w:tcPr>
                <w:p>
                  <w:pPr>
                    <w:jc w:val="center"/>
                    <w:rPr>
                      <w:rFonts w:ascii="Times New Roman" w:hAnsi="Times New Roman" w:eastAsia="宋体" w:cs="Times New Roman"/>
                      <w:kern w:val="0"/>
                      <w:sz w:val="2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5、</w:t>
                  </w:r>
                  <w:r>
                    <w:rPr>
                      <w:rFonts w:ascii="Times New Roman" w:hAnsi="Times New Roman" w:eastAsia="宋体" w:cs="Times New Roman"/>
                      <w:kern w:val="0"/>
                      <w:sz w:val="20"/>
                      <w:szCs w:val="21"/>
                    </w:rPr>
                    <w:t>按“半源化、减量化、无咨化”的</w:t>
                  </w:r>
                  <w:r>
                    <w:rPr>
                      <w:rFonts w:hint="eastAsia" w:ascii="Times New Roman" w:hAnsi="Times New Roman" w:eastAsia="宋体" w:cs="Times New Roman"/>
                      <w:kern w:val="0"/>
                      <w:sz w:val="20"/>
                      <w:szCs w:val="21"/>
                    </w:rPr>
                    <w:t>处置</w:t>
                  </w:r>
                  <w:r>
                    <w:rPr>
                      <w:rFonts w:ascii="Times New Roman" w:hAnsi="Times New Roman" w:eastAsia="宋体" w:cs="Times New Roman"/>
                      <w:kern w:val="0"/>
                      <w:sz w:val="20"/>
                      <w:szCs w:val="21"/>
                    </w:rPr>
                    <w:t>原则，</w:t>
                  </w:r>
                  <w:r>
                    <w:rPr>
                      <w:rFonts w:hint="eastAsia" w:ascii="Times New Roman" w:hAnsi="Times New Roman" w:eastAsia="宋体" w:cs="Times New Roman"/>
                      <w:kern w:val="0"/>
                      <w:sz w:val="20"/>
                      <w:szCs w:val="21"/>
                    </w:rPr>
                    <w:t>落实各类固体废物特别是危险废物的收集、贮存、处置和综合利用措施，危险废物必须委托有资质单位安全处置，厂内危险废物、一般固废暂存场所须符合《危险废物贮存污染控制标准》</w:t>
                  </w:r>
                  <w:r>
                    <w:rPr>
                      <w:rFonts w:ascii="Times New Roman" w:hAnsi="Times New Roman" w:eastAsia="宋体" w:cs="Times New Roman"/>
                      <w:kern w:val="0"/>
                      <w:sz w:val="20"/>
                      <w:szCs w:val="21"/>
                    </w:rPr>
                    <w:t>(GB18597-2001)</w:t>
                  </w:r>
                  <w:r>
                    <w:rPr>
                      <w:rFonts w:hint="eastAsia" w:ascii="Times New Roman" w:hAnsi="Times New Roman" w:eastAsia="宋体" w:cs="Times New Roman"/>
                      <w:kern w:val="0"/>
                      <w:sz w:val="20"/>
                      <w:szCs w:val="21"/>
                    </w:rPr>
                    <w:t>及其修改单，《一般工业固体废物贮存和填埋污染控制标准》</w:t>
                  </w:r>
                  <w:r>
                    <w:rPr>
                      <w:rFonts w:ascii="Times New Roman" w:hAnsi="Times New Roman" w:eastAsia="宋体" w:cs="Times New Roman"/>
                      <w:kern w:val="0"/>
                      <w:sz w:val="20"/>
                      <w:szCs w:val="21"/>
                    </w:rPr>
                    <w:t>(GB18599-2020)等相关要求，防止造成二次污染。</w:t>
                  </w:r>
                </w:p>
              </w:tc>
              <w:tc>
                <w:tcPr>
                  <w:tcW w:w="3260"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本项目严格按照</w:t>
                  </w:r>
                  <w:r>
                    <w:rPr>
                      <w:rFonts w:ascii="Times New Roman" w:hAnsi="Times New Roman" w:eastAsia="宋体" w:cs="Times New Roman"/>
                      <w:kern w:val="0"/>
                      <w:sz w:val="20"/>
                      <w:szCs w:val="21"/>
                    </w:rPr>
                    <w:t>按“半源化、减量化、无咨化”的</w:t>
                  </w:r>
                  <w:r>
                    <w:rPr>
                      <w:rFonts w:hint="eastAsia" w:ascii="Times New Roman" w:hAnsi="Times New Roman" w:eastAsia="宋体" w:cs="Times New Roman"/>
                      <w:kern w:val="0"/>
                      <w:sz w:val="20"/>
                      <w:szCs w:val="21"/>
                    </w:rPr>
                    <w:t>处置</w:t>
                  </w:r>
                  <w:r>
                    <w:rPr>
                      <w:rFonts w:ascii="Times New Roman" w:hAnsi="Times New Roman" w:eastAsia="宋体" w:cs="Times New Roman"/>
                      <w:kern w:val="0"/>
                      <w:sz w:val="20"/>
                      <w:szCs w:val="21"/>
                    </w:rPr>
                    <w:t>原则，</w:t>
                  </w:r>
                  <w:r>
                    <w:rPr>
                      <w:rFonts w:hint="eastAsia" w:ascii="Times New Roman" w:hAnsi="Times New Roman" w:eastAsia="宋体" w:cs="Times New Roman"/>
                      <w:kern w:val="0"/>
                      <w:sz w:val="20"/>
                      <w:szCs w:val="21"/>
                    </w:rPr>
                    <w:t>落实各类固体废物特别是危险废物的收集、贮存、处置和综合利用措施，危险固废委托盐城新宇辉丰科技有限公司安全处置，厂内危险废物、一般固废暂存场所须符合《危险废物贮存污染控制标准》</w:t>
                  </w:r>
                  <w:r>
                    <w:rPr>
                      <w:rFonts w:ascii="Times New Roman" w:hAnsi="Times New Roman" w:eastAsia="宋体" w:cs="Times New Roman"/>
                      <w:kern w:val="0"/>
                      <w:sz w:val="20"/>
                      <w:szCs w:val="21"/>
                    </w:rPr>
                    <w:t>(GB18597-2001)</w:t>
                  </w:r>
                  <w:r>
                    <w:rPr>
                      <w:rFonts w:hint="eastAsia" w:ascii="Times New Roman" w:hAnsi="Times New Roman" w:eastAsia="宋体" w:cs="Times New Roman"/>
                      <w:kern w:val="0"/>
                      <w:sz w:val="20"/>
                      <w:szCs w:val="21"/>
                    </w:rPr>
                    <w:t>及其修改单，《一般工业固体废物贮存和填埋污染控制标准》</w:t>
                  </w:r>
                  <w:r>
                    <w:rPr>
                      <w:rFonts w:ascii="Times New Roman" w:hAnsi="Times New Roman" w:eastAsia="宋体" w:cs="Times New Roman"/>
                      <w:kern w:val="0"/>
                      <w:sz w:val="20"/>
                      <w:szCs w:val="21"/>
                    </w:rPr>
                    <w:t>(GB18599-2020)等相关要求，防止造成二次污染。</w:t>
                  </w:r>
                </w:p>
              </w:tc>
              <w:tc>
                <w:tcPr>
                  <w:tcW w:w="968" w:type="dxa"/>
                  <w:shd w:val="clear" w:color="auto" w:fill="FFFFFF" w:themeFill="background1"/>
                  <w:vAlign w:val="center"/>
                </w:tcPr>
                <w:p>
                  <w:pPr>
                    <w:jc w:val="center"/>
                    <w:rPr>
                      <w:rFonts w:ascii="Times New Roman" w:hAnsi="Times New Roman" w:eastAsia="宋体" w:cs="Times New Roman"/>
                      <w:kern w:val="0"/>
                      <w:sz w:val="2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6、按有关设计规范、</w:t>
                  </w:r>
                  <w:r>
                    <w:rPr>
                      <w:rFonts w:hint="eastAsia" w:ascii="Times New Roman" w:hAnsi="Times New Roman" w:eastAsia="宋体" w:cs="Times New Roman"/>
                      <w:kern w:val="0"/>
                      <w:sz w:val="20"/>
                      <w:szCs w:val="21"/>
                    </w:rPr>
                    <w:t>间距</w:t>
                  </w:r>
                  <w:r>
                    <w:rPr>
                      <w:rFonts w:ascii="Times New Roman" w:hAnsi="Times New Roman" w:eastAsia="宋体" w:cs="Times New Roman"/>
                      <w:kern w:val="0"/>
                      <w:sz w:val="20"/>
                      <w:szCs w:val="21"/>
                    </w:rPr>
                    <w:t>要求合理</w:t>
                  </w:r>
                  <w:r>
                    <w:rPr>
                      <w:rFonts w:hint="eastAsia" w:ascii="Times New Roman" w:hAnsi="Times New Roman" w:eastAsia="宋体" w:cs="Times New Roman"/>
                      <w:kern w:val="0"/>
                      <w:sz w:val="20"/>
                      <w:szCs w:val="21"/>
                    </w:rPr>
                    <w:t>布</w:t>
                  </w:r>
                  <w:r>
                    <w:rPr>
                      <w:rFonts w:ascii="Times New Roman" w:hAnsi="Times New Roman" w:eastAsia="宋体" w:cs="Times New Roman"/>
                      <w:kern w:val="0"/>
                      <w:sz w:val="20"/>
                      <w:szCs w:val="21"/>
                    </w:rPr>
                    <w:t>局厂区建构筑物，</w:t>
                  </w:r>
                  <w:r>
                    <w:rPr>
                      <w:rFonts w:hint="eastAsia" w:ascii="Times New Roman" w:hAnsi="Times New Roman" w:eastAsia="宋体" w:cs="Times New Roman"/>
                      <w:kern w:val="0"/>
                      <w:sz w:val="20"/>
                      <w:szCs w:val="21"/>
                    </w:rPr>
                    <w:t>满足防火、防爆等要求，保障安全生产。加强环境风险管理，落实风险防范和事故应急措施要求，建立区城应急联动机制；加强污染治理设施运行管理和监拉，采取切实可行的工程控制和管理措施，防止发生污染事故。</w:t>
                  </w:r>
                </w:p>
              </w:tc>
              <w:tc>
                <w:tcPr>
                  <w:tcW w:w="3260" w:type="dxa"/>
                  <w:shd w:val="clear" w:color="auto" w:fill="FFFFFF" w:themeFill="background1"/>
                  <w:vAlign w:val="center"/>
                </w:tcPr>
                <w:p>
                  <w:pPr>
                    <w:rPr>
                      <w:rFonts w:ascii="Times New Roman" w:hAnsi="Times New Roman" w:eastAsia="宋体" w:cs="Times New Roman"/>
                      <w:b/>
                      <w:bCs/>
                      <w:kern w:val="0"/>
                      <w:sz w:val="20"/>
                      <w:szCs w:val="21"/>
                    </w:rPr>
                  </w:pPr>
                  <w:r>
                    <w:rPr>
                      <w:rFonts w:ascii="Times New Roman" w:hAnsi="Times New Roman" w:eastAsia="宋体" w:cs="Times New Roman"/>
                      <w:kern w:val="0"/>
                      <w:sz w:val="20"/>
                      <w:szCs w:val="21"/>
                    </w:rPr>
                    <w:t>企业已完成突发环境事件应急预案</w:t>
                  </w:r>
                  <w:r>
                    <w:rPr>
                      <w:rFonts w:hint="eastAsia" w:ascii="Times New Roman" w:hAnsi="Times New Roman" w:eastAsia="宋体" w:cs="Times New Roman"/>
                      <w:kern w:val="0"/>
                      <w:sz w:val="20"/>
                      <w:szCs w:val="21"/>
                    </w:rPr>
                    <w:t>的编制工作，目前正在备案中</w:t>
                  </w:r>
                  <w:r>
                    <w:rPr>
                      <w:rFonts w:ascii="Times New Roman" w:hAnsi="Times New Roman" w:eastAsia="宋体" w:cs="Times New Roman"/>
                      <w:kern w:val="0"/>
                      <w:sz w:val="20"/>
                      <w:szCs w:val="21"/>
                    </w:rPr>
                    <w:t>。</w:t>
                  </w:r>
                </w:p>
              </w:tc>
              <w:tc>
                <w:tcPr>
                  <w:tcW w:w="968" w:type="dxa"/>
                  <w:shd w:val="clear" w:color="auto" w:fill="FFFFFF" w:themeFill="background1"/>
                  <w:vAlign w:val="center"/>
                </w:tcPr>
                <w:p>
                  <w:pPr>
                    <w:jc w:val="center"/>
                    <w:rPr>
                      <w:rFonts w:ascii="Times New Roman" w:hAnsi="Times New Roman" w:eastAsia="宋体" w:cs="Times New Roman"/>
                      <w:kern w:val="0"/>
                      <w:sz w:val="2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7、加强厂区绿化，建设绿化隔离带，以减轻废气及噪声对周围环境的影响。</w:t>
                  </w:r>
                </w:p>
              </w:tc>
              <w:tc>
                <w:tcPr>
                  <w:tcW w:w="3260" w:type="dxa"/>
                  <w:shd w:val="clear" w:color="auto" w:fill="FFFFFF" w:themeFill="background1"/>
                  <w:vAlign w:val="center"/>
                </w:tcPr>
                <w:p>
                  <w:pPr>
                    <w:rPr>
                      <w:rFonts w:ascii="Times New Roman" w:hAnsi="Times New Roman" w:eastAsia="宋体" w:cs="Times New Roman"/>
                      <w:kern w:val="0"/>
                      <w:sz w:val="20"/>
                      <w:szCs w:val="21"/>
                    </w:rPr>
                  </w:pPr>
                  <w:r>
                    <w:rPr>
                      <w:rFonts w:ascii="宋体" w:hAnsi="宋体" w:eastAsia="宋体" w:cs="Times New Roman"/>
                      <w:kern w:val="0"/>
                      <w:sz w:val="20"/>
                    </w:rPr>
                    <w:t>本项目厂界已建设绿化隔离带，可有效减轻废气及噪声对周围环境的影响。</w:t>
                  </w:r>
                </w:p>
              </w:tc>
              <w:tc>
                <w:tcPr>
                  <w:tcW w:w="968" w:type="dxa"/>
                  <w:shd w:val="clear" w:color="auto" w:fill="FFFFFF" w:themeFill="background1"/>
                  <w:vAlign w:val="center"/>
                </w:tcPr>
                <w:p>
                  <w:pPr>
                    <w:jc w:val="center"/>
                    <w:rPr>
                      <w:rFonts w:ascii="Times New Roman" w:hAnsi="Times New Roman" w:eastAsia="宋体" w:cs="Times New Roman"/>
                      <w:kern w:val="0"/>
                      <w:sz w:val="2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8</w:t>
                  </w:r>
                  <w:r>
                    <w:rPr>
                      <w:rFonts w:hint="eastAsia" w:ascii="Times New Roman" w:hAnsi="Times New Roman" w:eastAsia="宋体" w:cs="Times New Roman"/>
                      <w:kern w:val="0"/>
                      <w:sz w:val="20"/>
                      <w:szCs w:val="21"/>
                    </w:rPr>
                    <w:t>、</w:t>
                  </w:r>
                  <w:r>
                    <w:rPr>
                      <w:rFonts w:ascii="Times New Roman" w:hAnsi="Times New Roman" w:eastAsia="宋体" w:cs="Times New Roman"/>
                      <w:kern w:val="0"/>
                      <w:sz w:val="20"/>
                      <w:szCs w:val="21"/>
                    </w:rPr>
                    <w:t>落实施工期</w:t>
                  </w:r>
                  <w:r>
                    <w:rPr>
                      <w:rFonts w:hint="eastAsia" w:ascii="Times New Roman" w:hAnsi="Times New Roman" w:eastAsia="宋体" w:cs="Times New Roman"/>
                      <w:kern w:val="0"/>
                      <w:sz w:val="20"/>
                      <w:szCs w:val="21"/>
                    </w:rPr>
                    <w:t>污染</w:t>
                  </w:r>
                  <w:r>
                    <w:rPr>
                      <w:rFonts w:ascii="Times New Roman" w:hAnsi="Times New Roman" w:eastAsia="宋体" w:cs="Times New Roman"/>
                      <w:kern w:val="0"/>
                      <w:sz w:val="20"/>
                      <w:szCs w:val="21"/>
                    </w:rPr>
                    <w:t>防治指施，减轻工程施工对周围环境的不</w:t>
                  </w:r>
                  <w:r>
                    <w:rPr>
                      <w:rFonts w:hint="eastAsia" w:ascii="Times New Roman" w:hAnsi="Times New Roman" w:eastAsia="宋体" w:cs="Times New Roman"/>
                      <w:kern w:val="0"/>
                      <w:sz w:val="20"/>
                      <w:szCs w:val="21"/>
                    </w:rPr>
                    <w:t>利影响。</w:t>
                  </w:r>
                </w:p>
              </w:tc>
              <w:tc>
                <w:tcPr>
                  <w:tcW w:w="3260"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本项目施工期间严格执行污染防治措施，减轻工程施工期间对周围环境的不利影响</w:t>
                  </w:r>
                </w:p>
              </w:tc>
              <w:tc>
                <w:tcPr>
                  <w:tcW w:w="968" w:type="dxa"/>
                  <w:shd w:val="clear" w:color="auto" w:fill="FFFFFF" w:themeFill="background1"/>
                  <w:vAlign w:val="center"/>
                </w:tcPr>
                <w:p>
                  <w:pPr>
                    <w:jc w:val="center"/>
                    <w:rPr>
                      <w:rFonts w:ascii="Times New Roman" w:hAnsi="Times New Roman" w:eastAsia="宋体" w:cs="Times New Roman"/>
                      <w:kern w:val="0"/>
                      <w:sz w:val="2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三、新团河备用水源保护区的国家级生态保护红线核销调整到位前，项目不得实施。</w:t>
                  </w:r>
                </w:p>
              </w:tc>
              <w:tc>
                <w:tcPr>
                  <w:tcW w:w="3260" w:type="dxa"/>
                  <w:shd w:val="clear" w:color="auto" w:fill="FFFFFF" w:themeFill="background1"/>
                  <w:vAlign w:val="center"/>
                </w:tcPr>
                <w:p>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根据</w:t>
                  </w:r>
                  <w:r>
                    <w:rPr>
                      <w:rFonts w:ascii="Times New Roman" w:hAnsi="Times New Roman" w:eastAsia="宋体" w:cs="Times New Roman"/>
                      <w:b/>
                      <w:bCs/>
                      <w:kern w:val="0"/>
                      <w:sz w:val="20"/>
                      <w:szCs w:val="21"/>
                    </w:rPr>
                    <w:t>2018年11月30日发布的《省水利厅关于核准金坛市长荡湖涑渎等水源地和核销盱眙县古桑等水源地的通知》（苏水资〔2018〕59号），新团河备用水源地已经核销，但《江苏省国家级生态保护红线规划》和《江苏省生态空间管控区域规划》未将新团河备用水源保护区国家级生态保护红线调出名录范围。</w:t>
                  </w:r>
                </w:p>
                <w:p>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根据江苏省生态环境厅部长信箱答复（办件编</w:t>
                  </w:r>
                  <w:r>
                    <w:rPr>
                      <w:rFonts w:ascii="Times New Roman" w:hAnsi="Times New Roman" w:eastAsia="宋体" w:cs="Times New Roman"/>
                      <w:b/>
                      <w:bCs/>
                      <w:kern w:val="0"/>
                      <w:sz w:val="20"/>
                      <w:szCs w:val="21"/>
                    </w:rPr>
                    <w:t>HBT0220190800695)：依据《建设项目环境保护管理条例》和《建设项目竣工环境保护验收暂行办法》规定，竣工环保验收是对环评批复要求落实情况的验收。在你公司其他事项已依法开展项目环评工作的前提下，如果已</w:t>
                  </w:r>
                </w:p>
                <w:p>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建项目完全落实了环评批复的要求，可以自主开展并完成自主验收。备用水源地取消后生态红线还没同步调整的问题，可以列入自主验收报告中的“其他需要说明的事项”中予以载明，并抄送相关主管部门知悉，“其他需要说明的</w:t>
                  </w:r>
                </w:p>
                <w:p>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 w:val="20"/>
                      <w:szCs w:val="21"/>
                    </w:rPr>
                    <w:t>事项”不影响验收结论。（详见其他事项说明及附件）</w:t>
                  </w:r>
                </w:p>
              </w:tc>
              <w:tc>
                <w:tcPr>
                  <w:tcW w:w="968"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Cs w:val="21"/>
                    </w:rPr>
                    <w:t>基本</w:t>
                  </w: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四，严格执行《报告表》</w:t>
                  </w:r>
                  <w:r>
                    <w:rPr>
                      <w:rFonts w:ascii="Times New Roman" w:hAnsi="Times New Roman" w:eastAsia="宋体" w:cs="Times New Roman"/>
                      <w:kern w:val="0"/>
                      <w:sz w:val="20"/>
                      <w:szCs w:val="21"/>
                    </w:rPr>
                    <w:t>中所列的各项环境质量标准和</w:t>
                  </w:r>
                  <w:r>
                    <w:rPr>
                      <w:rFonts w:hint="eastAsia" w:ascii="Times New Roman" w:hAnsi="Times New Roman" w:eastAsia="宋体" w:cs="Times New Roman"/>
                      <w:kern w:val="0"/>
                      <w:sz w:val="20"/>
                      <w:szCs w:val="21"/>
                    </w:rPr>
                    <w:t>污染排放标准，落实环境管理要求和环境监测计划。项目实施后新增的污染物排放总量指标按照盐城市大丰区生态环境局核定的总量平衡方案执行。</w:t>
                  </w:r>
                </w:p>
              </w:tc>
              <w:tc>
                <w:tcPr>
                  <w:tcW w:w="3260" w:type="dxa"/>
                  <w:shd w:val="clear" w:color="auto" w:fill="FFFFFF" w:themeFill="background1"/>
                  <w:vAlign w:val="center"/>
                </w:tcPr>
                <w:p>
                  <w:pPr>
                    <w:rPr>
                      <w:rFonts w:ascii="Times New Roman" w:hAnsi="Times New Roman" w:eastAsia="宋体" w:cs="Times New Roman"/>
                      <w:kern w:val="0"/>
                      <w:sz w:val="20"/>
                      <w:szCs w:val="21"/>
                    </w:rPr>
                  </w:pPr>
                  <w:r>
                    <w:rPr>
                      <w:rFonts w:ascii="宋体" w:hAnsi="宋体" w:eastAsia="宋体" w:cs="Times New Roman"/>
                      <w:kern w:val="0"/>
                      <w:sz w:val="20"/>
                    </w:rPr>
                    <w:t>本项目运营期根据监测报告核算，本项目实际生产时颗粒物排放总量为</w:t>
                  </w:r>
                  <w:r>
                    <w:rPr>
                      <w:rFonts w:ascii="Times New Roman" w:hAnsi="Times New Roman" w:eastAsia="宋体" w:cs="Times New Roman"/>
                      <w:kern w:val="0"/>
                      <w:sz w:val="20"/>
                    </w:rPr>
                    <w:t>0.22t/a</w:t>
                  </w:r>
                  <w:r>
                    <w:rPr>
                      <w:rFonts w:hint="eastAsia" w:ascii="Times New Roman" w:hAnsi="Times New Roman" w:eastAsia="宋体" w:cs="Times New Roman"/>
                      <w:kern w:val="0"/>
                      <w:sz w:val="20"/>
                    </w:rPr>
                    <w:t>，</w:t>
                  </w:r>
                  <w:r>
                    <w:rPr>
                      <w:rFonts w:hint="eastAsia" w:ascii="宋体" w:hAnsi="宋体" w:eastAsia="宋体" w:cs="Times New Roman"/>
                      <w:kern w:val="0"/>
                      <w:sz w:val="20"/>
                    </w:rPr>
                    <w:t>颗粒物</w:t>
                  </w:r>
                  <w:r>
                    <w:rPr>
                      <w:rFonts w:ascii="宋体" w:hAnsi="宋体" w:eastAsia="宋体" w:cs="Times New Roman"/>
                      <w:kern w:val="0"/>
                      <w:sz w:val="20"/>
                    </w:rPr>
                    <w:t>化物可满足环评批复要求</w:t>
                  </w:r>
                  <w:r>
                    <w:rPr>
                      <w:rFonts w:hint="eastAsia" w:ascii="宋体" w:hAnsi="宋体" w:eastAsia="宋体" w:cs="Times New Roman"/>
                      <w:kern w:val="0"/>
                      <w:sz w:val="20"/>
                    </w:rPr>
                    <w:t>。</w:t>
                  </w:r>
                </w:p>
              </w:tc>
              <w:tc>
                <w:tcPr>
                  <w:tcW w:w="968" w:type="dxa"/>
                  <w:shd w:val="clear" w:color="auto" w:fill="FFFFFF" w:themeFill="background1"/>
                  <w:vAlign w:val="center"/>
                </w:tcPr>
                <w:p>
                  <w:pPr>
                    <w:jc w:val="center"/>
                    <w:rPr>
                      <w:rFonts w:ascii="Times New Roman" w:hAnsi="Times New Roman" w:eastAsia="宋体" w:cs="Times New Roman"/>
                      <w:kern w:val="0"/>
                      <w:sz w:val="2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五</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严格落实生态环境保护主体责任，项目配套建设的环境保护设施必须与主体工程同时设计、同时施工、同时投产使用。对环境治理设施开展安全风险辨识管控，论证情况报送应急管理部门。项目竣工后需按规定开展环境保护验收。</w:t>
                  </w:r>
                </w:p>
              </w:tc>
              <w:tc>
                <w:tcPr>
                  <w:tcW w:w="3260"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本项目配套建设的环境保护设施与主体工程同时设计、同时施工、同时投产使用。污染防治措施安全论证已在应急管理部门进行备案，当前阶段正在开展环境保护验收工作。</w:t>
                  </w:r>
                </w:p>
              </w:tc>
              <w:tc>
                <w:tcPr>
                  <w:tcW w:w="96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4591"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六</w:t>
                  </w:r>
                  <w:r>
                    <w:rPr>
                      <w:rFonts w:ascii="Times New Roman" w:hAnsi="Times New Roman" w:eastAsia="宋体" w:cs="Times New Roman"/>
                      <w:kern w:val="0"/>
                      <w:szCs w:val="21"/>
                    </w:rPr>
                    <w:t>、项目的性质、规模、地点、采用的生产工艺或者防治污染、防止生态破坏的措施发生重大变动的，应当重新报批项目的环境影响评价文件。自批准之日起，如超过5年建设项目方开工建设的，其环境影响评价文件须依法报我局重新审核。</w:t>
                  </w:r>
                </w:p>
              </w:tc>
              <w:tc>
                <w:tcPr>
                  <w:tcW w:w="3260"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本项目性质、规模、地点、采用的生产工艺或者防治污染、防止生态破坏的措施未发生重大变动，无需进行重新报批项目的环境影响评价文件。本项目开工建设不超过5年，无需重新审核。</w:t>
                  </w:r>
                </w:p>
              </w:tc>
              <w:tc>
                <w:tcPr>
                  <w:tcW w:w="968"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符合</w:t>
                  </w:r>
                </w:p>
              </w:tc>
            </w:tr>
            <w:bookmarkEnd w:id="6"/>
          </w:tbl>
          <w:p>
            <w:pPr>
              <w:spacing w:line="360" w:lineRule="auto"/>
              <w:jc w:val="left"/>
              <w:rPr>
                <w:rFonts w:ascii="Times New Roman" w:hAnsi="Times New Roman" w:eastAsia="宋体" w:cs="Times New Roman"/>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14" w:type="dxa"/>
            <w:vAlign w:val="center"/>
          </w:tcPr>
          <w:p>
            <w:pPr>
              <w:spacing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三</w:t>
            </w:r>
            <w:r>
              <w:rPr>
                <w:rFonts w:ascii="Times New Roman" w:hAnsi="Times New Roman" w:eastAsia="宋体" w:cs="Times New Roman"/>
                <w:b/>
                <w:bCs/>
                <w:sz w:val="24"/>
              </w:rPr>
              <w:t>、</w:t>
            </w:r>
            <w:r>
              <w:rPr>
                <w:rFonts w:hint="eastAsia" w:ascii="Times New Roman" w:hAnsi="Times New Roman" w:eastAsia="宋体" w:cs="Times New Roman"/>
                <w:b/>
                <w:bCs/>
                <w:sz w:val="24"/>
              </w:rPr>
              <w:t>项目变动情况</w:t>
            </w:r>
            <w:r>
              <w:rPr>
                <w:rFonts w:ascii="Times New Roman" w:hAnsi="Times New Roman" w:eastAsia="宋体" w:cs="Times New Roman"/>
                <w:b/>
                <w:bCs/>
                <w:sz w:val="24"/>
              </w:rPr>
              <w:t>：</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根据《污染影响类建设项目重大变动清单（试行）》</w:t>
            </w:r>
            <w:r>
              <w:rPr>
                <w:rFonts w:ascii="Times New Roman" w:hAnsi="Times New Roman" w:eastAsia="宋体" w:cs="Times New Roman"/>
                <w:sz w:val="24"/>
              </w:rPr>
              <w:t>（</w:t>
            </w:r>
            <w:r>
              <w:rPr>
                <w:rFonts w:hint="eastAsia" w:ascii="Times New Roman" w:hAnsi="Times New Roman" w:eastAsia="宋体" w:cs="Times New Roman"/>
                <w:sz w:val="24"/>
              </w:rPr>
              <w:t>环办环评函</w:t>
            </w:r>
            <w:r>
              <w:rPr>
                <w:rFonts w:ascii="Times New Roman" w:hAnsi="Times New Roman" w:eastAsia="宋体" w:cs="Times New Roman"/>
                <w:sz w:val="24"/>
              </w:rPr>
              <w:t>[2020]688号）</w:t>
            </w:r>
            <w:r>
              <w:rPr>
                <w:rFonts w:hint="eastAsia" w:ascii="Times New Roman" w:hAnsi="Times New Roman" w:eastAsia="宋体" w:cs="Times New Roman"/>
                <w:sz w:val="24"/>
              </w:rPr>
              <w:t>的要求：建设项目的性质、规模、地点、生产工艺和环境保护措施五个因素中的一项或一项以上发生重大变动，且可能导致环境影响显著变化（特别是不利环境影响加重）的，界定为重大变动。</w:t>
            </w:r>
          </w:p>
          <w:p>
            <w:pPr>
              <w:spacing w:line="360" w:lineRule="auto"/>
              <w:ind w:firstLine="480"/>
              <w:jc w:val="left"/>
              <w:rPr>
                <w:rFonts w:ascii="Times New Roman" w:hAnsi="Times New Roman" w:eastAsia="宋体" w:cs="Times New Roman"/>
                <w:sz w:val="24"/>
              </w:rPr>
            </w:pPr>
            <w:r>
              <w:rPr>
                <w:rFonts w:hint="eastAsia" w:ascii="Times New Roman" w:hAnsi="Times New Roman" w:eastAsia="宋体" w:cs="Times New Roman"/>
                <w:sz w:val="24"/>
              </w:rPr>
              <w:t>本项目在实际运营过程中与原环评设计发生了如下表</w:t>
            </w:r>
            <w:r>
              <w:rPr>
                <w:rFonts w:ascii="Times New Roman" w:hAnsi="Times New Roman" w:eastAsia="宋体" w:cs="Times New Roman"/>
                <w:sz w:val="24"/>
              </w:rPr>
              <w:t>4-3</w:t>
            </w:r>
            <w:r>
              <w:rPr>
                <w:rFonts w:hint="eastAsia" w:ascii="Times New Roman" w:hAnsi="Times New Roman" w:eastAsia="宋体" w:cs="Times New Roman"/>
                <w:sz w:val="24"/>
              </w:rPr>
              <w:t>变化：</w:t>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ascii="Times New Roman" w:hAnsi="Times New Roman" w:eastAsia="宋体" w:cs="Times New Roman"/>
                <w:b/>
                <w:bCs/>
                <w:sz w:val="24"/>
              </w:rPr>
              <w:t>-</w:t>
            </w:r>
            <w:r>
              <w:rPr>
                <w:rFonts w:ascii="Times New Roman" w:hAnsi="Times New Roman" w:eastAsia="宋体" w:cs="Times New Roman"/>
                <w:b/>
                <w:bCs/>
                <w:sz w:val="24"/>
              </w:rPr>
              <w:t xml:space="preserve">3 </w:t>
            </w:r>
            <w:r>
              <w:rPr>
                <w:rFonts w:hint="eastAsia" w:ascii="Times New Roman" w:hAnsi="Times New Roman" w:eastAsia="宋体" w:cs="Times New Roman"/>
                <w:b/>
                <w:bCs/>
                <w:sz w:val="24"/>
              </w:rPr>
              <w:t>建设</w:t>
            </w:r>
            <w:r>
              <w:rPr>
                <w:rFonts w:ascii="Times New Roman" w:hAnsi="Times New Roman" w:eastAsia="宋体" w:cs="Times New Roman"/>
                <w:b/>
                <w:bCs/>
                <w:sz w:val="24"/>
              </w:rPr>
              <w:t>项目</w:t>
            </w:r>
            <w:r>
              <w:rPr>
                <w:rFonts w:hint="eastAsia" w:ascii="Times New Roman" w:hAnsi="Times New Roman" w:eastAsia="宋体" w:cs="Times New Roman"/>
                <w:b/>
                <w:bCs/>
                <w:sz w:val="24"/>
              </w:rPr>
              <w:t>与《污染影响类建设项目重大变动清单（试行）》对照分析</w:t>
            </w:r>
          </w:p>
          <w:tbl>
            <w:tblPr>
              <w:tblStyle w:val="17"/>
              <w:tblW w:w="877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794"/>
              <w:gridCol w:w="794"/>
              <w:gridCol w:w="2547"/>
              <w:gridCol w:w="3118"/>
              <w:gridCol w:w="152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03" w:hRule="atLeast"/>
                <w:jc w:val="center"/>
              </w:trPr>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类别</w:t>
                  </w: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序号</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判别依据</w:t>
                  </w:r>
                </w:p>
              </w:tc>
              <w:tc>
                <w:tcPr>
                  <w:tcW w:w="3118" w:type="dxa"/>
                  <w:shd w:val="clear" w:color="auto" w:fill="FFFFFF" w:themeFill="background1"/>
                  <w:vAlign w:val="center"/>
                </w:tcPr>
                <w:p>
                  <w:pPr>
                    <w:pStyle w:val="29"/>
                    <w:spacing w:line="240" w:lineRule="auto"/>
                    <w:ind w:firstLine="0"/>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对照情况分析</w:t>
                  </w:r>
                </w:p>
              </w:tc>
              <w:tc>
                <w:tcPr>
                  <w:tcW w:w="1525" w:type="dxa"/>
                  <w:shd w:val="clear" w:color="auto" w:fill="FFFFFF" w:themeFill="background1"/>
                  <w:vAlign w:val="center"/>
                </w:tcPr>
                <w:p>
                  <w:pPr>
                    <w:pStyle w:val="29"/>
                    <w:spacing w:line="240" w:lineRule="auto"/>
                    <w:ind w:firstLine="0"/>
                    <w:jc w:val="center"/>
                    <w:rPr>
                      <w:rFonts w:ascii="Times New Roman" w:hAnsi="Times New Roman" w:cs="Times New Roman"/>
                      <w:b/>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是否属于重大变更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16" w:hRule="atLeast"/>
                <w:jc w:val="center"/>
              </w:trPr>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性质</w:t>
                  </w: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建设项目开发、使用功能发生变化的</w:t>
                  </w:r>
                </w:p>
              </w:tc>
              <w:tc>
                <w:tcPr>
                  <w:tcW w:w="3118"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本项目主要为冷锻产品和模具加工，</w:t>
                  </w:r>
                  <w:r>
                    <w:rPr>
                      <w:rFonts w:ascii="Times New Roman" w:hAnsi="Times New Roman" w:cs="Times New Roman"/>
                      <w:b/>
                      <w:bCs/>
                      <w:color w:val="000000" w:themeColor="text1"/>
                      <w:kern w:val="0"/>
                      <w:szCs w:val="21"/>
                      <w14:textFill>
                        <w14:solidFill>
                          <w14:schemeClr w14:val="tx1"/>
                        </w14:solidFill>
                      </w14:textFill>
                    </w:rPr>
                    <w:t>与环评设计一致</w:t>
                  </w:r>
                </w:p>
              </w:tc>
              <w:tc>
                <w:tcPr>
                  <w:tcW w:w="1525"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5" w:hRule="atLeast"/>
                <w:jc w:val="center"/>
              </w:trPr>
              <w:tc>
                <w:tcPr>
                  <w:tcW w:w="794" w:type="dxa"/>
                  <w:vMerge w:val="restart"/>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规模</w:t>
                  </w: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生产、处置或储存能力增大30%及以上</w:t>
                  </w:r>
                </w:p>
              </w:tc>
              <w:tc>
                <w:tcPr>
                  <w:tcW w:w="3118" w:type="dxa"/>
                  <w:vMerge w:val="restart"/>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本项目为3000吨模具材料的加工，部分设备名称发生变化且部分设备减少，产能未发生变动；生产、处置或储存能力未发生变化，</w:t>
                  </w:r>
                  <w:r>
                    <w:rPr>
                      <w:rFonts w:ascii="Times New Roman" w:hAnsi="Times New Roman" w:cs="Times New Roman"/>
                      <w:b/>
                      <w:bCs/>
                      <w:color w:val="000000" w:themeColor="text1"/>
                      <w:kern w:val="0"/>
                      <w:szCs w:val="21"/>
                      <w14:textFill>
                        <w14:solidFill>
                          <w14:schemeClr w14:val="tx1"/>
                        </w14:solidFill>
                      </w14:textFill>
                    </w:rPr>
                    <w:t>与环评设计一致</w:t>
                  </w:r>
                </w:p>
              </w:tc>
              <w:tc>
                <w:tcPr>
                  <w:tcW w:w="1525" w:type="dxa"/>
                  <w:vMerge w:val="restart"/>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kern w:val="0"/>
                      <w:szCs w:val="21"/>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5" w:hRule="atLeast"/>
                <w:jc w:val="center"/>
              </w:trPr>
              <w:tc>
                <w:tcPr>
                  <w:tcW w:w="794" w:type="dxa"/>
                  <w:vMerge w:val="continue"/>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生产、处置或储存能力增大，导致废水第一类污染物排放量增加</w:t>
                  </w:r>
                </w:p>
              </w:tc>
              <w:tc>
                <w:tcPr>
                  <w:tcW w:w="3118" w:type="dxa"/>
                  <w:vMerge w:val="continue"/>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p>
              </w:tc>
              <w:tc>
                <w:tcPr>
                  <w:tcW w:w="1525" w:type="dxa"/>
                  <w:vMerge w:val="continue"/>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7" w:hRule="atLeast"/>
                <w:jc w:val="center"/>
              </w:trPr>
              <w:tc>
                <w:tcPr>
                  <w:tcW w:w="794" w:type="dxa"/>
                  <w:vMerge w:val="continue"/>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位于环境质量不达标区的建设项目生产、处置或储存能力增大，导致相应污染物排放量增加的，位于达标区的建设项目生产、处置或贮存能力增大，导致污染物排放增加10%以上的</w:t>
                  </w:r>
                </w:p>
              </w:tc>
              <w:tc>
                <w:tcPr>
                  <w:tcW w:w="3118" w:type="dxa"/>
                  <w:vMerge w:val="continue"/>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p>
              </w:tc>
              <w:tc>
                <w:tcPr>
                  <w:tcW w:w="1525" w:type="dxa"/>
                  <w:vMerge w:val="continue"/>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8" w:hRule="atLeast"/>
                <w:jc w:val="center"/>
              </w:trPr>
              <w:tc>
                <w:tcPr>
                  <w:tcW w:w="794" w:type="dxa"/>
                  <w:vMerge w:val="restart"/>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地点</w:t>
                  </w: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项目重新选址</w:t>
                  </w:r>
                </w:p>
              </w:tc>
              <w:tc>
                <w:tcPr>
                  <w:tcW w:w="3118"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本项目建设地点位于</w:t>
                  </w:r>
                  <w:r>
                    <w:rPr>
                      <w:rFonts w:ascii="Times New Roman" w:hAnsi="Times New Roman" w:cs="Times New Roman"/>
                      <w:kern w:val="0"/>
                      <w:szCs w:val="21"/>
                    </w:rPr>
                    <w:t>盐城市大丰区经济开发区南翔西路65号</w:t>
                  </w:r>
                  <w:r>
                    <w:rPr>
                      <w:rFonts w:ascii="Times New Roman" w:hAnsi="Times New Roman" w:cs="Times New Roman"/>
                      <w:color w:val="000000" w:themeColor="text1"/>
                      <w:kern w:val="0"/>
                      <w:szCs w:val="21"/>
                      <w14:textFill>
                        <w14:solidFill>
                          <w14:schemeClr w14:val="tx1"/>
                        </w14:solidFill>
                      </w14:textFill>
                    </w:rPr>
                    <w:t>，</w:t>
                  </w:r>
                  <w:r>
                    <w:rPr>
                      <w:rFonts w:ascii="Times New Roman" w:hAnsi="Times New Roman" w:cs="Times New Roman"/>
                      <w:b/>
                      <w:bCs/>
                      <w:color w:val="000000" w:themeColor="text1"/>
                      <w:kern w:val="0"/>
                      <w:szCs w:val="21"/>
                      <w14:textFill>
                        <w14:solidFill>
                          <w14:schemeClr w14:val="tx1"/>
                        </w14:solidFill>
                      </w14:textFill>
                    </w:rPr>
                    <w:t>与环评设计一致</w:t>
                  </w:r>
                </w:p>
              </w:tc>
              <w:tc>
                <w:tcPr>
                  <w:tcW w:w="1525"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3" w:hRule="atLeast"/>
                <w:jc w:val="center"/>
              </w:trPr>
              <w:tc>
                <w:tcPr>
                  <w:tcW w:w="794" w:type="dxa"/>
                  <w:vMerge w:val="continue"/>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6</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在原厂址附近调整（包括总平面布置变化）导致环境防护距离范围变化且新增敏感点的</w:t>
                  </w:r>
                </w:p>
              </w:tc>
              <w:tc>
                <w:tcPr>
                  <w:tcW w:w="3118"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本项目平面布置未发生变化，不会导致环境防护距离范围变化，且不会新增敏感点，</w:t>
                  </w:r>
                  <w:r>
                    <w:rPr>
                      <w:rFonts w:ascii="Times New Roman" w:hAnsi="Times New Roman" w:cs="Times New Roman"/>
                      <w:b/>
                      <w:bCs/>
                      <w:color w:val="000000" w:themeColor="text1"/>
                      <w:kern w:val="0"/>
                      <w:szCs w:val="21"/>
                      <w14:textFill>
                        <w14:solidFill>
                          <w14:schemeClr w14:val="tx1"/>
                        </w14:solidFill>
                      </w14:textFill>
                    </w:rPr>
                    <w:t>与环评设计一致</w:t>
                  </w:r>
                </w:p>
              </w:tc>
              <w:tc>
                <w:tcPr>
                  <w:tcW w:w="1525"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87" w:hRule="atLeast"/>
                <w:jc w:val="center"/>
              </w:trPr>
              <w:tc>
                <w:tcPr>
                  <w:tcW w:w="794" w:type="dxa"/>
                  <w:vMerge w:val="restart"/>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生产工艺</w:t>
                  </w: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新增产品品种或生产工艺导致以下情形：</w:t>
                  </w:r>
                  <w:r>
                    <w:rPr>
                      <w:rFonts w:hint="eastAsia" w:ascii="宋体" w:hAnsi="宋体" w:cs="宋体"/>
                      <w:color w:val="000000" w:themeColor="text1"/>
                      <w:kern w:val="0"/>
                      <w:szCs w:val="21"/>
                      <w14:textFill>
                        <w14:solidFill>
                          <w14:schemeClr w14:val="tx1"/>
                        </w14:solidFill>
                      </w14:textFill>
                    </w:rPr>
                    <w:t>①</w:t>
                  </w:r>
                  <w:r>
                    <w:rPr>
                      <w:rFonts w:ascii="Times New Roman" w:hAnsi="Times New Roman" w:cs="Times New Roman"/>
                      <w:color w:val="000000" w:themeColor="text1"/>
                      <w:kern w:val="0"/>
                      <w:szCs w:val="21"/>
                      <w14:textFill>
                        <w14:solidFill>
                          <w14:schemeClr w14:val="tx1"/>
                        </w14:solidFill>
                      </w14:textFill>
                    </w:rPr>
                    <w:t>新增排放污染物种类的；</w:t>
                  </w:r>
                  <w:r>
                    <w:rPr>
                      <w:rFonts w:hint="eastAsia" w:ascii="宋体" w:hAnsi="宋体" w:cs="宋体"/>
                      <w:color w:val="000000" w:themeColor="text1"/>
                      <w:kern w:val="0"/>
                      <w:szCs w:val="21"/>
                      <w14:textFill>
                        <w14:solidFill>
                          <w14:schemeClr w14:val="tx1"/>
                        </w14:solidFill>
                      </w14:textFill>
                    </w:rPr>
                    <w:t>②</w:t>
                  </w:r>
                  <w:r>
                    <w:rPr>
                      <w:rFonts w:ascii="Times New Roman" w:hAnsi="Times New Roman" w:cs="Times New Roman"/>
                      <w:color w:val="000000" w:themeColor="text1"/>
                      <w:kern w:val="0"/>
                      <w:szCs w:val="21"/>
                      <w14:textFill>
                        <w14:solidFill>
                          <w14:schemeClr w14:val="tx1"/>
                        </w14:solidFill>
                      </w14:textFill>
                    </w:rPr>
                    <w:t>位于环境质量不达标区的建设项目相应污染物排放量增加的；</w:t>
                  </w:r>
                  <w:r>
                    <w:rPr>
                      <w:rFonts w:hint="eastAsia" w:ascii="宋体" w:hAnsi="宋体" w:cs="宋体"/>
                      <w:color w:val="000000" w:themeColor="text1"/>
                      <w:kern w:val="0"/>
                      <w:szCs w:val="21"/>
                      <w14:textFill>
                        <w14:solidFill>
                          <w14:schemeClr w14:val="tx1"/>
                        </w14:solidFill>
                      </w14:textFill>
                    </w:rPr>
                    <w:t>③</w:t>
                  </w:r>
                  <w:r>
                    <w:rPr>
                      <w:rFonts w:ascii="Times New Roman" w:hAnsi="Times New Roman" w:cs="Times New Roman"/>
                      <w:color w:val="000000" w:themeColor="text1"/>
                      <w:kern w:val="0"/>
                      <w:szCs w:val="21"/>
                      <w14:textFill>
                        <w14:solidFill>
                          <w14:schemeClr w14:val="tx1"/>
                        </w14:solidFill>
                      </w14:textFill>
                    </w:rPr>
                    <w:t>废水第一类污染物排放量增加的；</w:t>
                  </w:r>
                  <w:r>
                    <w:rPr>
                      <w:rFonts w:hint="eastAsia" w:ascii="宋体" w:hAnsi="宋体" w:cs="宋体"/>
                      <w:color w:val="000000" w:themeColor="text1"/>
                      <w:kern w:val="0"/>
                      <w:szCs w:val="21"/>
                      <w14:textFill>
                        <w14:solidFill>
                          <w14:schemeClr w14:val="tx1"/>
                        </w14:solidFill>
                      </w14:textFill>
                    </w:rPr>
                    <w:t>④</w:t>
                  </w:r>
                  <w:r>
                    <w:rPr>
                      <w:rFonts w:ascii="Times New Roman" w:hAnsi="Times New Roman" w:cs="Times New Roman"/>
                      <w:color w:val="000000" w:themeColor="text1"/>
                      <w:kern w:val="0"/>
                      <w:szCs w:val="21"/>
                      <w14:textFill>
                        <w14:solidFill>
                          <w14:schemeClr w14:val="tx1"/>
                        </w14:solidFill>
                      </w14:textFill>
                    </w:rPr>
                    <w:t>其他污染物排放量增加10%及以上的</w:t>
                  </w:r>
                </w:p>
              </w:tc>
              <w:tc>
                <w:tcPr>
                  <w:tcW w:w="3118"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kern w:val="0"/>
                      <w:szCs w:val="21"/>
                    </w:rPr>
                    <w:t>本项目为冷锻产品和模具加工，运营期生产工艺未发生变化，</w:t>
                  </w:r>
                  <w:r>
                    <w:rPr>
                      <w:rFonts w:ascii="Times New Roman" w:hAnsi="Times New Roman" w:cs="Times New Roman"/>
                      <w:b/>
                      <w:bCs/>
                      <w:color w:val="000000" w:themeColor="text1"/>
                      <w:kern w:val="0"/>
                      <w:szCs w:val="21"/>
                      <w14:textFill>
                        <w14:solidFill>
                          <w14:schemeClr w14:val="tx1"/>
                        </w14:solidFill>
                      </w14:textFill>
                    </w:rPr>
                    <w:t>与环评设计一致</w:t>
                  </w:r>
                </w:p>
              </w:tc>
              <w:tc>
                <w:tcPr>
                  <w:tcW w:w="1525"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3" w:hRule="atLeast"/>
                <w:jc w:val="center"/>
              </w:trPr>
              <w:tc>
                <w:tcPr>
                  <w:tcW w:w="794" w:type="dxa"/>
                  <w:vMerge w:val="continue"/>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8</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物料运输、装卸、贮存方式变化，导致大气污染物无组织排放量增加10%及以上的</w:t>
                  </w:r>
                </w:p>
              </w:tc>
              <w:tc>
                <w:tcPr>
                  <w:tcW w:w="3118"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物料运输、装卸、贮存方式未发生变化，</w:t>
                  </w:r>
                  <w:r>
                    <w:rPr>
                      <w:rFonts w:ascii="Times New Roman" w:hAnsi="Times New Roman" w:cs="Times New Roman"/>
                      <w:b/>
                      <w:bCs/>
                      <w:color w:val="000000" w:themeColor="text1"/>
                      <w:kern w:val="0"/>
                      <w:szCs w:val="21"/>
                      <w14:textFill>
                        <w14:solidFill>
                          <w14:schemeClr w14:val="tx1"/>
                        </w14:solidFill>
                      </w14:textFill>
                    </w:rPr>
                    <w:t>与环评设计一致</w:t>
                  </w:r>
                </w:p>
              </w:tc>
              <w:tc>
                <w:tcPr>
                  <w:tcW w:w="1525"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5" w:hRule="atLeast"/>
                <w:jc w:val="center"/>
              </w:trPr>
              <w:tc>
                <w:tcPr>
                  <w:tcW w:w="794" w:type="dxa"/>
                  <w:vMerge w:val="restart"/>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环境保护措施</w:t>
                  </w: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废气、废水污染防治措施变化，导致污染物增加或大气污染物无组织排放量增加10%及以上的</w:t>
                  </w:r>
                </w:p>
              </w:tc>
              <w:tc>
                <w:tcPr>
                  <w:tcW w:w="3118"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废气、</w:t>
                  </w:r>
                  <w:r>
                    <w:rPr>
                      <w:rFonts w:ascii="Times New Roman" w:hAnsi="Times New Roman" w:cs="Times New Roman"/>
                      <w:color w:val="000000" w:themeColor="text1"/>
                      <w:kern w:val="0"/>
                      <w:szCs w:val="21"/>
                      <w14:textFill>
                        <w14:solidFill>
                          <w14:schemeClr w14:val="tx1"/>
                        </w14:solidFill>
                      </w14:textFill>
                    </w:rPr>
                    <w:t>废水污染防治措施未发生变化。</w:t>
                  </w:r>
                  <w:r>
                    <w:rPr>
                      <w:rFonts w:ascii="Times New Roman" w:hAnsi="Times New Roman" w:cs="Times New Roman"/>
                      <w:b/>
                      <w:bCs/>
                      <w:color w:val="000000" w:themeColor="text1"/>
                      <w:kern w:val="0"/>
                      <w:szCs w:val="21"/>
                      <w14:textFill>
                        <w14:solidFill>
                          <w14:schemeClr w14:val="tx1"/>
                        </w14:solidFill>
                      </w14:textFill>
                    </w:rPr>
                    <w:t>为有效的提高收集效率和处理能力，</w:t>
                  </w:r>
                  <w:r>
                    <w:rPr>
                      <w:rFonts w:ascii="Times New Roman" w:hAnsi="Times New Roman" w:cs="Times New Roman"/>
                      <w:b/>
                      <w:bCs/>
                      <w:kern w:val="0"/>
                      <w:szCs w:val="21"/>
                    </w:rPr>
                    <w:t>由</w:t>
                  </w:r>
                  <w:r>
                    <w:rPr>
                      <w:rFonts w:hint="eastAsia" w:ascii="Times New Roman" w:hAnsi="Times New Roman" w:cs="Times New Roman"/>
                      <w:b/>
                      <w:bCs/>
                      <w:kern w:val="0"/>
                      <w:szCs w:val="21"/>
                    </w:rPr>
                    <w:t>环评中的</w:t>
                  </w:r>
                  <w:r>
                    <w:rPr>
                      <w:rFonts w:ascii="Times New Roman" w:hAnsi="Times New Roman" w:cs="Times New Roman"/>
                      <w:b/>
                      <w:bCs/>
                      <w:kern w:val="0"/>
                      <w:szCs w:val="21"/>
                    </w:rPr>
                    <w:t>1套布袋除尘变为2套布袋除尘处理设施</w:t>
                  </w:r>
                  <w:r>
                    <w:rPr>
                      <w:rFonts w:hint="eastAsia" w:ascii="Times New Roman" w:hAnsi="Times New Roman" w:cs="Times New Roman"/>
                      <w:b/>
                      <w:bCs/>
                      <w:kern w:val="0"/>
                      <w:szCs w:val="21"/>
                    </w:rPr>
                    <w:t>，</w:t>
                  </w:r>
                  <w:r>
                    <w:rPr>
                      <w:rFonts w:ascii="Times New Roman" w:hAnsi="Times New Roman" w:cs="Times New Roman"/>
                      <w:b/>
                      <w:bCs/>
                      <w:kern w:val="0"/>
                      <w:szCs w:val="21"/>
                    </w:rPr>
                    <w:t>两套布袋除尘处理后合并至1个排气筒排放</w:t>
                  </w:r>
                  <w:r>
                    <w:rPr>
                      <w:rFonts w:hint="eastAsia" w:ascii="Times New Roman" w:hAnsi="Times New Roman" w:cs="Times New Roman"/>
                      <w:b/>
                      <w:bCs/>
                      <w:kern w:val="0"/>
                      <w:szCs w:val="21"/>
                    </w:rPr>
                    <w:t>，总量符合环评批复要求，</w:t>
                  </w:r>
                  <w:r>
                    <w:rPr>
                      <w:rFonts w:ascii="Times New Roman" w:hAnsi="Times New Roman" w:cs="Times New Roman"/>
                      <w:color w:val="000000" w:themeColor="text1"/>
                      <w:kern w:val="0"/>
                      <w:szCs w:val="21"/>
                      <w14:textFill>
                        <w14:solidFill>
                          <w14:schemeClr w14:val="tx1"/>
                        </w14:solidFill>
                      </w14:textFill>
                    </w:rPr>
                    <w:t>未造成排污增加</w:t>
                  </w:r>
                  <w:r>
                    <w:rPr>
                      <w:rFonts w:hint="eastAsia" w:ascii="Times New Roman" w:hAnsi="Times New Roman" w:cs="Times New Roman"/>
                      <w:color w:val="000000" w:themeColor="text1"/>
                      <w:kern w:val="0"/>
                      <w:szCs w:val="21"/>
                      <w14:textFill>
                        <w14:solidFill>
                          <w14:schemeClr w14:val="tx1"/>
                        </w14:solidFill>
                      </w14:textFill>
                    </w:rPr>
                    <w:t>。</w:t>
                  </w:r>
                </w:p>
              </w:tc>
              <w:tc>
                <w:tcPr>
                  <w:tcW w:w="1525"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5" w:hRule="atLeast"/>
                <w:jc w:val="center"/>
              </w:trPr>
              <w:tc>
                <w:tcPr>
                  <w:tcW w:w="794" w:type="dxa"/>
                  <w:vMerge w:val="continue"/>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新增废水直接排放口；废水由间接排放改为直接排放；废水直接排放口位置变化，导致不利环境影响加重的</w:t>
                  </w:r>
                </w:p>
              </w:tc>
              <w:tc>
                <w:tcPr>
                  <w:tcW w:w="3118" w:type="dxa"/>
                  <w:shd w:val="clear" w:color="auto" w:fill="FFFFFF" w:themeFill="background1"/>
                  <w:vAlign w:val="center"/>
                </w:tcPr>
                <w:p>
                  <w:pPr>
                    <w:pStyle w:val="29"/>
                    <w:spacing w:line="240" w:lineRule="auto"/>
                    <w:ind w:firstLine="0"/>
                    <w:jc w:val="center"/>
                    <w:rPr>
                      <w:rFonts w:ascii="Times New Roman" w:hAnsi="Times New Roman" w:cs="Times New Roman"/>
                      <w:kern w:val="0"/>
                      <w:szCs w:val="21"/>
                    </w:rPr>
                  </w:pPr>
                  <w:r>
                    <w:rPr>
                      <w:rFonts w:ascii="Times New Roman" w:hAnsi="Times New Roman" w:cs="Times New Roman"/>
                      <w:color w:val="000000" w:themeColor="text1"/>
                      <w:kern w:val="0"/>
                      <w:szCs w:val="21"/>
                      <w14:textFill>
                        <w14:solidFill>
                          <w14:schemeClr w14:val="tx1"/>
                        </w14:solidFill>
                      </w14:textFill>
                    </w:rPr>
                    <w:t>本项目废水污染防治措施未发生变化，</w:t>
                  </w:r>
                  <w:r>
                    <w:rPr>
                      <w:rFonts w:ascii="Times New Roman" w:hAnsi="Times New Roman" w:cs="Times New Roman"/>
                      <w:kern w:val="0"/>
                      <w:szCs w:val="21"/>
                    </w:rPr>
                    <w:t>生产废水经过厂区污水处理装置后达标后，通过市政管网排入盐城市大丰经济开发区污水处理厂处理后尾水排入老斗龙港；员工生活废水经化粪池处理后达到接管标准后排入污水处理厂集中处理。</w:t>
                  </w:r>
                  <w:r>
                    <w:rPr>
                      <w:rFonts w:ascii="Times New Roman" w:hAnsi="Times New Roman" w:cs="Times New Roman"/>
                      <w:b/>
                      <w:bCs/>
                      <w:color w:val="000000" w:themeColor="text1"/>
                      <w:kern w:val="0"/>
                      <w:szCs w:val="21"/>
                      <w14:textFill>
                        <w14:solidFill>
                          <w14:schemeClr w14:val="tx1"/>
                        </w14:solidFill>
                      </w14:textFill>
                    </w:rPr>
                    <w:t>与环评设计一致</w:t>
                  </w:r>
                </w:p>
              </w:tc>
              <w:tc>
                <w:tcPr>
                  <w:tcW w:w="1525"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5" w:hRule="atLeast"/>
                <w:jc w:val="center"/>
              </w:trPr>
              <w:tc>
                <w:tcPr>
                  <w:tcW w:w="794" w:type="dxa"/>
                  <w:vMerge w:val="continue"/>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11</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新增废气主要排放口；主要排放口排气筒高度降低10%及以上的</w:t>
                  </w:r>
                </w:p>
              </w:tc>
              <w:tc>
                <w:tcPr>
                  <w:tcW w:w="3118"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本项目主要废气</w:t>
                  </w:r>
                  <w:r>
                    <w:rPr>
                      <w:rFonts w:ascii="Times New Roman" w:hAnsi="Times New Roman" w:cs="Times New Roman"/>
                      <w:kern w:val="0"/>
                      <w:szCs w:val="21"/>
                    </w:rPr>
                    <w:t>为抛丸、喷砂工段产生的颗粒物，</w:t>
                  </w:r>
                  <w:r>
                    <w:rPr>
                      <w:rFonts w:ascii="Times New Roman" w:hAnsi="Times New Roman" w:cs="Times New Roman"/>
                      <w:color w:val="000000" w:themeColor="text1"/>
                      <w:kern w:val="0"/>
                      <w:szCs w:val="21"/>
                      <w14:textFill>
                        <w14:solidFill>
                          <w14:schemeClr w14:val="tx1"/>
                        </w14:solidFill>
                      </w14:textFill>
                    </w:rPr>
                    <w:t>排放口数量、排气筒高度未发生变化，</w:t>
                  </w:r>
                  <w:r>
                    <w:rPr>
                      <w:rFonts w:ascii="Times New Roman" w:hAnsi="Times New Roman" w:cs="Times New Roman"/>
                      <w:b/>
                      <w:bCs/>
                      <w:color w:val="000000" w:themeColor="text1"/>
                      <w:kern w:val="0"/>
                      <w:szCs w:val="21"/>
                      <w14:textFill>
                        <w14:solidFill>
                          <w14:schemeClr w14:val="tx1"/>
                        </w14:solidFill>
                      </w14:textFill>
                    </w:rPr>
                    <w:t>与环评设计一致</w:t>
                  </w:r>
                </w:p>
              </w:tc>
              <w:tc>
                <w:tcPr>
                  <w:tcW w:w="1525"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5" w:hRule="atLeast"/>
                <w:jc w:val="center"/>
              </w:trPr>
              <w:tc>
                <w:tcPr>
                  <w:tcW w:w="794" w:type="dxa"/>
                  <w:vMerge w:val="continue"/>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12</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噪声、土壤或地下水污染防治措施变化，导致不利环境影响加重的</w:t>
                  </w:r>
                </w:p>
              </w:tc>
              <w:tc>
                <w:tcPr>
                  <w:tcW w:w="3118"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噪声、土壤或地下水污染防治措施未发生变化，</w:t>
                  </w:r>
                  <w:r>
                    <w:rPr>
                      <w:rFonts w:ascii="Times New Roman" w:hAnsi="Times New Roman" w:cs="Times New Roman"/>
                      <w:b/>
                      <w:bCs/>
                      <w:color w:val="000000" w:themeColor="text1"/>
                      <w:kern w:val="0"/>
                      <w:szCs w:val="21"/>
                      <w14:textFill>
                        <w14:solidFill>
                          <w14:schemeClr w14:val="tx1"/>
                        </w14:solidFill>
                      </w14:textFill>
                    </w:rPr>
                    <w:t>与环评设计一致</w:t>
                  </w:r>
                </w:p>
              </w:tc>
              <w:tc>
                <w:tcPr>
                  <w:tcW w:w="1525"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5" w:hRule="atLeast"/>
                <w:jc w:val="center"/>
              </w:trPr>
              <w:tc>
                <w:tcPr>
                  <w:tcW w:w="794" w:type="dxa"/>
                  <w:vMerge w:val="continue"/>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13</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固体废物利用处置方式由委托外单位利用处置改为自行利用处置的；固体废物自行处置方式变化，导致不利环境影响加重的</w:t>
                  </w:r>
                </w:p>
              </w:tc>
              <w:tc>
                <w:tcPr>
                  <w:tcW w:w="3118"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本项目生活垃圾</w:t>
                  </w:r>
                  <w:r>
                    <w:rPr>
                      <w:rFonts w:ascii="Times New Roman" w:hAnsi="Times New Roman" w:cs="Times New Roman"/>
                      <w:kern w:val="0"/>
                      <w:szCs w:val="21"/>
                    </w:rPr>
                    <w:t>日产日清，环卫部门统一处理；一般废弃物由收购单位统一收集外售、综合利用，均可实现妥善处理，达到零排放，不会造成不利环境影响，</w:t>
                  </w:r>
                  <w:r>
                    <w:rPr>
                      <w:rFonts w:ascii="Times New Roman" w:hAnsi="Times New Roman" w:cs="Times New Roman"/>
                      <w:b/>
                      <w:bCs/>
                      <w:color w:val="000000" w:themeColor="text1"/>
                      <w:kern w:val="0"/>
                      <w:szCs w:val="21"/>
                      <w14:textFill>
                        <w14:solidFill>
                          <w14:schemeClr w14:val="tx1"/>
                        </w14:solidFill>
                      </w14:textFill>
                    </w:rPr>
                    <w:t>与环评设计一致</w:t>
                  </w:r>
                </w:p>
              </w:tc>
              <w:tc>
                <w:tcPr>
                  <w:tcW w:w="1525"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否</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5" w:hRule="atLeast"/>
                <w:jc w:val="center"/>
              </w:trPr>
              <w:tc>
                <w:tcPr>
                  <w:tcW w:w="794" w:type="dxa"/>
                  <w:vMerge w:val="continue"/>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p>
              </w:tc>
              <w:tc>
                <w:tcPr>
                  <w:tcW w:w="794"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14</w:t>
                  </w:r>
                </w:p>
              </w:tc>
              <w:tc>
                <w:tcPr>
                  <w:tcW w:w="2547"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事故废水暂存能力或拦截设施变化，导致环境风险防范能力弱化或降低的</w:t>
                  </w:r>
                </w:p>
              </w:tc>
              <w:tc>
                <w:tcPr>
                  <w:tcW w:w="3118"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本项目其暂存能力或拦截设施未变化，并未导致环境风险防范能力弱化或降低；</w:t>
                  </w:r>
                  <w:r>
                    <w:rPr>
                      <w:rFonts w:ascii="Times New Roman" w:hAnsi="Times New Roman" w:cs="Times New Roman"/>
                      <w:b/>
                      <w:bCs/>
                      <w:color w:val="000000" w:themeColor="text1"/>
                      <w:kern w:val="0"/>
                      <w:szCs w:val="21"/>
                      <w14:textFill>
                        <w14:solidFill>
                          <w14:schemeClr w14:val="tx1"/>
                        </w14:solidFill>
                      </w14:textFill>
                    </w:rPr>
                    <w:t>与环评设计一致</w:t>
                  </w:r>
                </w:p>
              </w:tc>
              <w:tc>
                <w:tcPr>
                  <w:tcW w:w="1525" w:type="dxa"/>
                  <w:shd w:val="clear" w:color="auto" w:fill="FFFFFF" w:themeFill="background1"/>
                  <w:vAlign w:val="center"/>
                </w:tcPr>
                <w:p>
                  <w:pPr>
                    <w:pStyle w:val="29"/>
                    <w:spacing w:line="240" w:lineRule="auto"/>
                    <w:ind w:firstLine="0"/>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否</w:t>
                  </w:r>
                </w:p>
              </w:tc>
            </w:tr>
          </w:tbl>
          <w:p>
            <w:pPr>
              <w:widowControl/>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对照《污染影响类建设项目重大变动清单（试行）》（环办环评函〔</w:t>
            </w:r>
            <w:r>
              <w:rPr>
                <w:rFonts w:ascii="Times New Roman" w:hAnsi="Times New Roman" w:eastAsia="宋体" w:cs="Times New Roman"/>
                <w:sz w:val="24"/>
              </w:rPr>
              <w:t>2020〕688号）辨识，本项目的性质、规模、地点、生产工艺、环境保护措施均未发生重大变动</w:t>
            </w:r>
            <w:r>
              <w:rPr>
                <w:rFonts w:hint="eastAsia" w:ascii="Times New Roman" w:hAnsi="Times New Roman" w:eastAsia="宋体" w:cs="Times New Roman"/>
                <w:sz w:val="24"/>
              </w:rPr>
              <w:t>。</w:t>
            </w:r>
            <w:r>
              <w:rPr>
                <w:rFonts w:ascii="Times New Roman" w:hAnsi="Times New Roman" w:eastAsia="宋体" w:cs="Times New Roman"/>
                <w:sz w:val="24"/>
              </w:rPr>
              <w:t xml:space="preserve"> </w:t>
            </w:r>
          </w:p>
          <w:p>
            <w:pPr>
              <w:spacing w:line="360" w:lineRule="auto"/>
              <w:ind w:firstLine="480"/>
              <w:jc w:val="left"/>
              <w:rPr>
                <w:rFonts w:ascii="Times New Roman" w:hAnsi="Times New Roman" w:eastAsia="宋体" w:cs="Times New Roman"/>
                <w:sz w:val="24"/>
              </w:rPr>
            </w:pPr>
          </w:p>
          <w:p>
            <w:pPr>
              <w:spacing w:line="360" w:lineRule="auto"/>
              <w:jc w:val="left"/>
              <w:rPr>
                <w:rFonts w:ascii="Times New Roman" w:hAnsi="Times New Roman" w:eastAsia="宋体" w:cs="Times New Roman"/>
                <w:b/>
                <w:bCs/>
                <w:sz w:val="24"/>
              </w:rPr>
            </w:pPr>
          </w:p>
        </w:tc>
      </w:tr>
    </w:tbl>
    <w:p>
      <w:pPr>
        <w:rPr>
          <w:rFonts w:ascii="Times New Roman" w:hAnsi="Times New Roman" w:eastAsia="宋体" w:cs="Times New Roman"/>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outlineLvl w:val="0"/>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表五 质量保证及质控措施</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14" w:type="dxa"/>
            <w:vAlign w:val="center"/>
          </w:tcPr>
          <w:p>
            <w:pPr>
              <w:spacing w:before="156" w:beforeLines="50" w:after="156" w:afterLines="50"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一、监测分析方法</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监测分析方法见表5</w:t>
            </w:r>
            <w:r>
              <w:rPr>
                <w:rFonts w:ascii="Times New Roman" w:hAnsi="Times New Roman" w:eastAsia="宋体" w:cs="Times New Roman"/>
                <w:sz w:val="24"/>
              </w:rPr>
              <w:t>-1</w:t>
            </w:r>
            <w:r>
              <w:rPr>
                <w:rFonts w:hint="eastAsia" w:ascii="Times New Roman" w:hAnsi="Times New Roman" w:eastAsia="宋体" w:cs="Times New Roman"/>
                <w:sz w:val="24"/>
              </w:rPr>
              <w:t>。</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表5</w:t>
            </w:r>
            <w:r>
              <w:rPr>
                <w:rFonts w:ascii="Times New Roman" w:hAnsi="Times New Roman" w:eastAsia="宋体" w:cs="Times New Roman"/>
                <w:b/>
                <w:bCs/>
                <w:sz w:val="24"/>
              </w:rPr>
              <w:t xml:space="preserve">-1  </w:t>
            </w:r>
            <w:r>
              <w:rPr>
                <w:rFonts w:hint="eastAsia" w:ascii="Times New Roman" w:hAnsi="Times New Roman" w:eastAsia="宋体" w:cs="Times New Roman"/>
                <w:b/>
                <w:bCs/>
                <w:sz w:val="24"/>
              </w:rPr>
              <w:t>监测方法一览表</w:t>
            </w:r>
          </w:p>
          <w:tbl>
            <w:tblPr>
              <w:tblStyle w:val="17"/>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08"/>
              <w:gridCol w:w="1624"/>
              <w:gridCol w:w="58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blHeader/>
                <w:jc w:val="center"/>
              </w:trPr>
              <w:tc>
                <w:tcPr>
                  <w:tcW w:w="744"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项目类别</w:t>
                  </w:r>
                </w:p>
              </w:tc>
              <w:tc>
                <w:tcPr>
                  <w:tcW w:w="924"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检测项目</w:t>
                  </w:r>
                </w:p>
              </w:tc>
              <w:tc>
                <w:tcPr>
                  <w:tcW w:w="3332"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检测标准（方法）名称及编号（含年号）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744" w:type="pct"/>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废水</w:t>
                  </w:r>
                </w:p>
              </w:tc>
              <w:tc>
                <w:tcPr>
                  <w:tcW w:w="924"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pH值</w:t>
                  </w:r>
                </w:p>
              </w:tc>
              <w:tc>
                <w:tcPr>
                  <w:tcW w:w="3332" w:type="pct"/>
                  <w:shd w:val="clear" w:color="auto" w:fill="FFFFFF" w:themeFill="background1"/>
                  <w:vAlign w:val="center"/>
                </w:tcPr>
                <w:p>
                  <w:pPr>
                    <w:jc w:val="center"/>
                    <w:rPr>
                      <w:rFonts w:ascii="Times New Roman" w:hAnsi="Times New Roman" w:eastAsia="宋体" w:cs="Times New Roman"/>
                      <w:spacing w:val="-6"/>
                      <w:kern w:val="0"/>
                      <w:szCs w:val="21"/>
                    </w:rPr>
                  </w:pPr>
                  <w:r>
                    <w:rPr>
                      <w:rFonts w:ascii="Times New Roman" w:hAnsi="Times New Roman" w:eastAsia="宋体" w:cs="Times New Roman"/>
                      <w:spacing w:val="-6"/>
                      <w:kern w:val="0"/>
                      <w:szCs w:val="21"/>
                    </w:rPr>
                    <w:t>水质 pH值的测定 电极法 HJ 1147-2020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744"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924"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氨氮</w:t>
                  </w:r>
                </w:p>
              </w:tc>
              <w:tc>
                <w:tcPr>
                  <w:tcW w:w="3332" w:type="pct"/>
                  <w:shd w:val="clear" w:color="auto" w:fill="FFFFFF" w:themeFill="background1"/>
                  <w:vAlign w:val="center"/>
                </w:tcPr>
                <w:p>
                  <w:pPr>
                    <w:jc w:val="center"/>
                    <w:rPr>
                      <w:rFonts w:ascii="Times New Roman" w:hAnsi="Times New Roman" w:eastAsia="宋体" w:cs="Times New Roman"/>
                      <w:spacing w:val="-6"/>
                      <w:kern w:val="0"/>
                      <w:szCs w:val="21"/>
                    </w:rPr>
                  </w:pPr>
                  <w:r>
                    <w:rPr>
                      <w:rFonts w:ascii="Times New Roman" w:hAnsi="Times New Roman" w:eastAsia="宋体" w:cs="Times New Roman"/>
                      <w:kern w:val="0"/>
                      <w:szCs w:val="21"/>
                    </w:rPr>
                    <w:t>水质 氨氮的测定 纳氏试剂分光光度法 HJ 535-2009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744"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924" w:type="pct"/>
                  <w:tcBorders>
                    <w:bottom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化学需氧量</w:t>
                  </w:r>
                </w:p>
              </w:tc>
              <w:tc>
                <w:tcPr>
                  <w:tcW w:w="3332" w:type="pct"/>
                  <w:tcBorders>
                    <w:bottom w:val="single" w:color="auto" w:sz="4" w:space="0"/>
                  </w:tcBorders>
                  <w:shd w:val="clear" w:color="auto" w:fill="FFFFFF" w:themeFill="background1"/>
                  <w:vAlign w:val="center"/>
                </w:tcPr>
                <w:p>
                  <w:pPr>
                    <w:jc w:val="center"/>
                    <w:rPr>
                      <w:rFonts w:ascii="Times New Roman" w:hAnsi="Times New Roman" w:eastAsia="宋体" w:cs="Times New Roman"/>
                      <w:spacing w:val="-6"/>
                      <w:kern w:val="0"/>
                      <w:szCs w:val="21"/>
                    </w:rPr>
                  </w:pPr>
                  <w:r>
                    <w:rPr>
                      <w:rFonts w:ascii="Times New Roman" w:hAnsi="Times New Roman" w:eastAsia="宋体" w:cs="Times New Roman"/>
                      <w:spacing w:val="-6"/>
                      <w:kern w:val="0"/>
                      <w:szCs w:val="21"/>
                    </w:rPr>
                    <w:t>水质 化学需氧量的测定 重铬酸盐法 HJ 828-2017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744"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924"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悬浮物</w:t>
                  </w:r>
                </w:p>
              </w:tc>
              <w:tc>
                <w:tcPr>
                  <w:tcW w:w="3332"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spacing w:val="-6"/>
                      <w:kern w:val="0"/>
                      <w:szCs w:val="21"/>
                    </w:rPr>
                  </w:pPr>
                  <w:r>
                    <w:rPr>
                      <w:rFonts w:ascii="Times New Roman" w:hAnsi="Times New Roman" w:eastAsia="宋体" w:cs="Times New Roman"/>
                      <w:spacing w:val="-6"/>
                      <w:kern w:val="0"/>
                      <w:szCs w:val="21"/>
                    </w:rPr>
                    <w:t>水质 悬浮物的测定 重量法 GB/T 11901-1989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744"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924"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石油类</w:t>
                  </w:r>
                </w:p>
              </w:tc>
              <w:tc>
                <w:tcPr>
                  <w:tcW w:w="3332"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spacing w:val="-6"/>
                      <w:kern w:val="0"/>
                      <w:szCs w:val="21"/>
                    </w:rPr>
                  </w:pPr>
                  <w:r>
                    <w:rPr>
                      <w:rFonts w:ascii="Times New Roman" w:hAnsi="Times New Roman" w:eastAsia="宋体" w:cs="Times New Roman"/>
                      <w:spacing w:val="-6"/>
                      <w:kern w:val="0"/>
                      <w:szCs w:val="21"/>
                    </w:rPr>
                    <w:t>水质 石油类和动植物油类的测定 红外分光光度法 HJ 637-2018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744"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924"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总磷</w:t>
                  </w:r>
                </w:p>
              </w:tc>
              <w:tc>
                <w:tcPr>
                  <w:tcW w:w="3332"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spacing w:val="-6"/>
                      <w:kern w:val="0"/>
                      <w:szCs w:val="21"/>
                    </w:rPr>
                  </w:pPr>
                  <w:r>
                    <w:rPr>
                      <w:rFonts w:ascii="Times New Roman" w:hAnsi="Times New Roman" w:eastAsia="宋体" w:cs="Times New Roman"/>
                      <w:spacing w:val="-6"/>
                      <w:kern w:val="0"/>
                      <w:szCs w:val="21"/>
                    </w:rPr>
                    <w:t>水质 总磷的测定 钼酸铵分光光度法 GB/T 11893-1989</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744"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924"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阴离子表面</w:t>
                  </w:r>
                </w:p>
                <w:p>
                  <w:pPr>
                    <w:jc w:val="center"/>
                    <w:rPr>
                      <w:rFonts w:ascii="Times New Roman" w:hAnsi="Times New Roman" w:eastAsia="宋体" w:cs="Times New Roman"/>
                      <w:kern w:val="0"/>
                      <w:szCs w:val="21"/>
                    </w:rPr>
                  </w:pPr>
                  <w:r>
                    <w:rPr>
                      <w:rFonts w:ascii="Times New Roman" w:hAnsi="Times New Roman" w:eastAsia="宋体" w:cs="Times New Roman"/>
                      <w:kern w:val="0"/>
                      <w:szCs w:val="21"/>
                    </w:rPr>
                    <w:t>活性剂</w:t>
                  </w:r>
                </w:p>
              </w:tc>
              <w:tc>
                <w:tcPr>
                  <w:tcW w:w="3332"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b/>
                      <w:bCs/>
                      <w:spacing w:val="-6"/>
                      <w:kern w:val="0"/>
                      <w:szCs w:val="21"/>
                    </w:rPr>
                  </w:pPr>
                  <w:r>
                    <w:rPr>
                      <w:rFonts w:ascii="Times New Roman" w:hAnsi="Times New Roman" w:eastAsia="宋体" w:cs="Times New Roman"/>
                      <w:spacing w:val="-6"/>
                      <w:kern w:val="0"/>
                      <w:szCs w:val="21"/>
                    </w:rPr>
                    <w:t>水质 阴离子表面活性剂的测定 亚甲蓝分光光度法 GB/T 7494-1987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744"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924"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锌</w:t>
                  </w:r>
                </w:p>
              </w:tc>
              <w:tc>
                <w:tcPr>
                  <w:tcW w:w="3332"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b/>
                      <w:bCs/>
                      <w:spacing w:val="-6"/>
                      <w:kern w:val="0"/>
                      <w:szCs w:val="21"/>
                    </w:rPr>
                  </w:pPr>
                  <w:r>
                    <w:rPr>
                      <w:rFonts w:ascii="Times New Roman" w:hAnsi="Times New Roman" w:eastAsia="宋体" w:cs="Times New Roman"/>
                      <w:spacing w:val="-6"/>
                      <w:kern w:val="0"/>
                      <w:szCs w:val="21"/>
                    </w:rPr>
                    <w:t>水质 铜、锌、铅、镉的测定 原子吸收分光光度法 GB/T 7475-1987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744" w:type="pct"/>
                  <w:vMerge w:val="restart"/>
                  <w:tcBorders>
                    <w:top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有组织废气</w:t>
                  </w:r>
                </w:p>
              </w:tc>
              <w:tc>
                <w:tcPr>
                  <w:tcW w:w="924"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低浓度颗粒物</w:t>
                  </w:r>
                </w:p>
              </w:tc>
              <w:tc>
                <w:tcPr>
                  <w:tcW w:w="3332"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spacing w:val="-6"/>
                      <w:kern w:val="0"/>
                      <w:szCs w:val="21"/>
                    </w:rPr>
                  </w:pPr>
                  <w:r>
                    <w:rPr>
                      <w:rFonts w:ascii="Times New Roman" w:hAnsi="Times New Roman" w:eastAsia="宋体" w:cs="Times New Roman"/>
                      <w:spacing w:val="-6"/>
                      <w:kern w:val="0"/>
                      <w:szCs w:val="21"/>
                    </w:rPr>
                    <w:t>固定污染源废气 低浓度颗粒物的测定 重量法 HJ 836-2017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744"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924"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颗粒物</w:t>
                  </w:r>
                </w:p>
              </w:tc>
              <w:tc>
                <w:tcPr>
                  <w:tcW w:w="3332"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spacing w:val="-6"/>
                      <w:kern w:val="0"/>
                      <w:szCs w:val="21"/>
                    </w:rPr>
                  </w:pPr>
                  <w:r>
                    <w:rPr>
                      <w:rFonts w:ascii="Times New Roman" w:hAnsi="Times New Roman" w:eastAsia="宋体" w:cs="Times New Roman"/>
                      <w:spacing w:val="-6"/>
                      <w:kern w:val="0"/>
                      <w:szCs w:val="21"/>
                    </w:rPr>
                    <w:t>固定污染源排气中颗粒物测定与气态污染物采样方法 GB/T 16157-1996及修改单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744" w:type="pct"/>
                  <w:tcBorders>
                    <w:top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无组织废气</w:t>
                  </w:r>
                </w:p>
              </w:tc>
              <w:tc>
                <w:tcPr>
                  <w:tcW w:w="924"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总悬浮颗粒物</w:t>
                  </w:r>
                </w:p>
              </w:tc>
              <w:tc>
                <w:tcPr>
                  <w:tcW w:w="3332" w:type="pct"/>
                  <w:tcBorders>
                    <w:top w:val="single" w:color="auto" w:sz="4" w:space="0"/>
                    <w:bottom w:val="single" w:color="auto" w:sz="4" w:space="0"/>
                  </w:tcBorders>
                  <w:shd w:val="clear" w:color="auto" w:fill="FFFFFF" w:themeFill="background1"/>
                  <w:vAlign w:val="center"/>
                </w:tcPr>
                <w:p>
                  <w:pPr>
                    <w:widowControl/>
                    <w:jc w:val="center"/>
                    <w:textAlignment w:val="bottom"/>
                    <w:rPr>
                      <w:rFonts w:ascii="Times New Roman" w:hAnsi="Times New Roman" w:eastAsia="宋体" w:cs="Times New Roman"/>
                      <w:spacing w:val="-6"/>
                      <w:kern w:val="0"/>
                      <w:szCs w:val="21"/>
                    </w:rPr>
                  </w:pPr>
                  <w:r>
                    <w:rPr>
                      <w:rFonts w:ascii="Times New Roman" w:hAnsi="Times New Roman" w:eastAsia="宋体" w:cs="Times New Roman"/>
                      <w:spacing w:val="-6"/>
                      <w:kern w:val="0"/>
                      <w:szCs w:val="21"/>
                    </w:rPr>
                    <w:t>环境空气 总悬浮颗粒物的测定 重量法GB/T 15432-1995及修改单</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744" w:type="pct"/>
                  <w:tcBorders>
                    <w:top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924"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厂界噪声</w:t>
                  </w:r>
                </w:p>
              </w:tc>
              <w:tc>
                <w:tcPr>
                  <w:tcW w:w="3332" w:type="pct"/>
                  <w:tcBorders>
                    <w:top w:val="single" w:color="auto" w:sz="4" w:space="0"/>
                    <w:bottom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snapToGrid w:val="0"/>
                      <w:kern w:val="0"/>
                      <w:szCs w:val="21"/>
                    </w:rPr>
                    <w:t>工业企业厂界环境噪声排放标准 GB 12348-2008</w:t>
                  </w:r>
                </w:p>
              </w:tc>
            </w:tr>
          </w:tbl>
          <w:p>
            <w:pPr>
              <w:spacing w:before="156" w:beforeLines="50" w:after="156" w:afterLines="50"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二、监测仪器</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监测仪器见表5</w:t>
            </w:r>
            <w:r>
              <w:rPr>
                <w:rFonts w:ascii="Times New Roman" w:hAnsi="Times New Roman" w:eastAsia="宋体" w:cs="Times New Roman"/>
                <w:sz w:val="24"/>
              </w:rPr>
              <w:t>-2</w:t>
            </w:r>
            <w:r>
              <w:rPr>
                <w:rFonts w:hint="eastAsia" w:ascii="Times New Roman" w:hAnsi="Times New Roman" w:eastAsia="宋体" w:cs="Times New Roman"/>
                <w:sz w:val="24"/>
              </w:rPr>
              <w:t>。</w:t>
            </w:r>
          </w:p>
          <w:p>
            <w:pPr>
              <w:spacing w:line="360" w:lineRule="auto"/>
              <w:jc w:val="center"/>
              <w:rPr>
                <w:rFonts w:ascii="Times New Roman" w:hAnsi="Times New Roman" w:eastAsia="宋体" w:cs="Times New Roman"/>
                <w:b/>
                <w:bCs/>
                <w:sz w:val="24"/>
              </w:rPr>
            </w:pPr>
            <w:bookmarkStart w:id="7" w:name="_Hlk46488444"/>
            <w:r>
              <w:rPr>
                <w:rFonts w:hint="eastAsia" w:ascii="Times New Roman" w:hAnsi="Times New Roman" w:eastAsia="宋体" w:cs="Times New Roman"/>
                <w:b/>
                <w:bCs/>
                <w:sz w:val="24"/>
              </w:rPr>
              <w:t>表5</w:t>
            </w:r>
            <w:r>
              <w:rPr>
                <w:rFonts w:ascii="Times New Roman" w:hAnsi="Times New Roman" w:eastAsia="宋体" w:cs="Times New Roman"/>
                <w:b/>
                <w:bCs/>
                <w:sz w:val="24"/>
              </w:rPr>
              <w:t xml:space="preserve">-2  </w:t>
            </w:r>
            <w:r>
              <w:rPr>
                <w:rFonts w:hint="eastAsia" w:ascii="Times New Roman" w:hAnsi="Times New Roman" w:eastAsia="宋体" w:cs="Times New Roman"/>
                <w:b/>
                <w:bCs/>
                <w:sz w:val="24"/>
              </w:rPr>
              <w:t>使用仪器设备检定/校准情况一览表</w:t>
            </w:r>
          </w:p>
          <w:tbl>
            <w:tblPr>
              <w:tblStyle w:val="1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0"/>
              <w:gridCol w:w="3265"/>
              <w:gridCol w:w="1843"/>
              <w:gridCol w:w="281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0"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3265"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仪器设备名称及型号</w:t>
                  </w:r>
                </w:p>
              </w:tc>
              <w:tc>
                <w:tcPr>
                  <w:tcW w:w="1843"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仪器编号</w:t>
                  </w:r>
                </w:p>
              </w:tc>
              <w:tc>
                <w:tcPr>
                  <w:tcW w:w="2810"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检定/校准单位</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0"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326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空盒气压表</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YC-XJ-11-02</w:t>
                  </w:r>
                </w:p>
              </w:tc>
              <w:tc>
                <w:tcPr>
                  <w:tcW w:w="2810"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浙江易测环境科技有限公司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0"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326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便携式气体、粉尘、烟尘采样仪综合校准装置</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YC-XJ-01-01</w:t>
                  </w:r>
                </w:p>
              </w:tc>
              <w:tc>
                <w:tcPr>
                  <w:tcW w:w="2810"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浙江易测环境科技有限公司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0"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326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风向风速仪</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YC-XJ-12-02</w:t>
                  </w:r>
                </w:p>
              </w:tc>
              <w:tc>
                <w:tcPr>
                  <w:tcW w:w="2810"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浙江易测环境科技有限公司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8" w:hRule="atLeast"/>
                <w:jc w:val="center"/>
              </w:trPr>
              <w:tc>
                <w:tcPr>
                  <w:tcW w:w="870"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3265"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ZR-3920型环境空气颗粒物综合采样器</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YC-XJ-04-01</w:t>
                  </w:r>
                </w:p>
              </w:tc>
              <w:tc>
                <w:tcPr>
                  <w:tcW w:w="2810"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浙江易测环境科技有限公司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7" w:hRule="atLeast"/>
                <w:jc w:val="center"/>
              </w:trPr>
              <w:tc>
                <w:tcPr>
                  <w:tcW w:w="870"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3265"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YC-XJ-04-02</w:t>
                  </w:r>
                </w:p>
              </w:tc>
              <w:tc>
                <w:tcPr>
                  <w:tcW w:w="2810"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7" w:hRule="atLeast"/>
                <w:jc w:val="center"/>
              </w:trPr>
              <w:tc>
                <w:tcPr>
                  <w:tcW w:w="870"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3265"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YC-XJ-04-03</w:t>
                  </w:r>
                </w:p>
              </w:tc>
              <w:tc>
                <w:tcPr>
                  <w:tcW w:w="2810" w:type="dxa"/>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0"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326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多功能声级计</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YC-XJ-08-04</w:t>
                  </w:r>
                </w:p>
              </w:tc>
              <w:tc>
                <w:tcPr>
                  <w:tcW w:w="2810"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浙江易测环境科技有限公司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0"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326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声校准器</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YC-XJ-07-01</w:t>
                  </w:r>
                </w:p>
              </w:tc>
              <w:tc>
                <w:tcPr>
                  <w:tcW w:w="2810"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浙江易测环境科技有限公司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0"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326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电子天平</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Acculab ALC-110.4</w:t>
                  </w:r>
                </w:p>
              </w:tc>
              <w:tc>
                <w:tcPr>
                  <w:tcW w:w="2810"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浙江易测环境科技有限公司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0"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8</w:t>
                  </w:r>
                </w:p>
              </w:tc>
              <w:tc>
                <w:tcPr>
                  <w:tcW w:w="3265"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便携式p</w:t>
                  </w:r>
                  <w:r>
                    <w:rPr>
                      <w:rFonts w:ascii="Times New Roman" w:hAnsi="Times New Roman" w:eastAsia="宋体" w:cs="Times New Roman"/>
                      <w:kern w:val="0"/>
                      <w:szCs w:val="21"/>
                    </w:rPr>
                    <w:t>H</w:t>
                  </w:r>
                  <w:r>
                    <w:rPr>
                      <w:rFonts w:hint="eastAsia" w:ascii="Times New Roman" w:hAnsi="Times New Roman" w:eastAsia="宋体" w:cs="Times New Roman"/>
                      <w:kern w:val="0"/>
                      <w:szCs w:val="21"/>
                    </w:rPr>
                    <w:t>计</w:t>
                  </w:r>
                </w:p>
              </w:tc>
              <w:tc>
                <w:tcPr>
                  <w:tcW w:w="1843"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Y</w:t>
                  </w:r>
                  <w:r>
                    <w:rPr>
                      <w:rFonts w:ascii="Times New Roman" w:hAnsi="Times New Roman" w:eastAsia="宋体" w:cs="Times New Roman"/>
                      <w:kern w:val="0"/>
                      <w:szCs w:val="21"/>
                    </w:rPr>
                    <w:t>C-XJ-13-01</w:t>
                  </w:r>
                </w:p>
              </w:tc>
              <w:tc>
                <w:tcPr>
                  <w:tcW w:w="2810"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浙江易测环境科技有限公司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4" w:hRule="atLeast"/>
                <w:jc w:val="center"/>
              </w:trPr>
              <w:tc>
                <w:tcPr>
                  <w:tcW w:w="870"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9</w:t>
                  </w:r>
                </w:p>
              </w:tc>
              <w:tc>
                <w:tcPr>
                  <w:tcW w:w="3265"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气相色谱</w:t>
                  </w:r>
                  <w:r>
                    <w:rPr>
                      <w:rFonts w:ascii="Times New Roman" w:hAnsi="Times New Roman" w:eastAsia="宋体" w:cs="Times New Roman"/>
                      <w:color w:val="000000" w:themeColor="text1"/>
                      <w:kern w:val="0"/>
                      <w:sz w:val="20"/>
                      <w:szCs w:val="21"/>
                      <w14:textFill>
                        <w14:solidFill>
                          <w14:schemeClr w14:val="tx1"/>
                        </w14:solidFill>
                      </w14:textFill>
                    </w:rPr>
                    <w:t>-</w:t>
                  </w:r>
                  <w:r>
                    <w:rPr>
                      <w:rFonts w:hint="eastAsia" w:ascii="Times New Roman" w:hAnsi="Times New Roman" w:eastAsia="宋体" w:cs="Times New Roman"/>
                      <w:color w:val="000000" w:themeColor="text1"/>
                      <w:kern w:val="0"/>
                      <w:sz w:val="20"/>
                      <w:szCs w:val="21"/>
                      <w14:textFill>
                        <w14:solidFill>
                          <w14:schemeClr w14:val="tx1"/>
                        </w14:solidFill>
                      </w14:textFill>
                    </w:rPr>
                    <w:t>质谱联用仪</w:t>
                  </w:r>
                </w:p>
              </w:tc>
              <w:tc>
                <w:tcPr>
                  <w:tcW w:w="1843"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仿宋" w:cs="Times New Roman"/>
                      <w:color w:val="000000" w:themeColor="text1"/>
                      <w:kern w:val="0"/>
                      <w:sz w:val="20"/>
                      <w:szCs w:val="21"/>
                      <w14:textFill>
                        <w14:solidFill>
                          <w14:schemeClr w14:val="tx1"/>
                        </w14:solidFill>
                      </w14:textFill>
                    </w:rPr>
                    <w:t>GCMS-QP2020</w:t>
                  </w:r>
                </w:p>
              </w:tc>
              <w:tc>
                <w:tcPr>
                  <w:tcW w:w="2810" w:type="dxa"/>
                  <w:shd w:val="clear" w:color="auto" w:fill="FFFFFF" w:themeFill="background1"/>
                  <w:vAlign w:val="center"/>
                </w:tcPr>
                <w:p>
                  <w:pPr>
                    <w:jc w:val="center"/>
                    <w:rPr>
                      <w:rFonts w:ascii="Times New Roman" w:hAnsi="Times New Roman" w:eastAsia="宋体" w:cs="Times New Roman"/>
                      <w:color w:val="FF0000"/>
                      <w:kern w:val="0"/>
                      <w:sz w:val="20"/>
                      <w:szCs w:val="21"/>
                    </w:rPr>
                  </w:pPr>
                  <w:r>
                    <w:rPr>
                      <w:rFonts w:hint="eastAsia" w:ascii="Times New Roman" w:hAnsi="Times New Roman" w:eastAsia="宋体" w:cs="Times New Roman"/>
                      <w:kern w:val="0"/>
                      <w:szCs w:val="21"/>
                    </w:rPr>
                    <w:t>浙江易测环境科技有限公司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0"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1</w:t>
                  </w:r>
                  <w:r>
                    <w:rPr>
                      <w:rFonts w:ascii="Times New Roman" w:hAnsi="Times New Roman" w:eastAsia="宋体" w:cs="Times New Roman"/>
                      <w:color w:val="000000" w:themeColor="text1"/>
                      <w:kern w:val="0"/>
                      <w:sz w:val="20"/>
                      <w:szCs w:val="21"/>
                      <w14:textFill>
                        <w14:solidFill>
                          <w14:schemeClr w14:val="tx1"/>
                        </w14:solidFill>
                      </w14:textFill>
                    </w:rPr>
                    <w:t>0</w:t>
                  </w:r>
                </w:p>
              </w:tc>
              <w:tc>
                <w:tcPr>
                  <w:tcW w:w="3265"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气相色谱</w:t>
                  </w:r>
                  <w:r>
                    <w:rPr>
                      <w:rFonts w:ascii="Times New Roman" w:hAnsi="Times New Roman" w:eastAsia="宋体" w:cs="Times New Roman"/>
                      <w:color w:val="000000" w:themeColor="text1"/>
                      <w:kern w:val="0"/>
                      <w:sz w:val="20"/>
                      <w:szCs w:val="21"/>
                      <w14:textFill>
                        <w14:solidFill>
                          <w14:schemeClr w14:val="tx1"/>
                        </w14:solidFill>
                      </w14:textFill>
                    </w:rPr>
                    <w:t>-</w:t>
                  </w:r>
                  <w:r>
                    <w:rPr>
                      <w:rFonts w:hint="eastAsia" w:ascii="Times New Roman" w:hAnsi="Times New Roman" w:eastAsia="宋体" w:cs="Times New Roman"/>
                      <w:color w:val="000000" w:themeColor="text1"/>
                      <w:kern w:val="0"/>
                      <w:sz w:val="20"/>
                      <w:szCs w:val="21"/>
                      <w14:textFill>
                        <w14:solidFill>
                          <w14:schemeClr w14:val="tx1"/>
                        </w14:solidFill>
                      </w14:textFill>
                    </w:rPr>
                    <w:t>质谱联用仪</w:t>
                  </w:r>
                </w:p>
              </w:tc>
              <w:tc>
                <w:tcPr>
                  <w:tcW w:w="1843"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仿宋" w:cs="Times New Roman"/>
                      <w:color w:val="000000" w:themeColor="text1"/>
                      <w:kern w:val="0"/>
                      <w:sz w:val="20"/>
                      <w:szCs w:val="21"/>
                      <w14:textFill>
                        <w14:solidFill>
                          <w14:schemeClr w14:val="tx1"/>
                        </w14:solidFill>
                      </w14:textFill>
                    </w:rPr>
                    <w:t>GCMS-QP2010</w:t>
                  </w:r>
                </w:p>
              </w:tc>
              <w:tc>
                <w:tcPr>
                  <w:tcW w:w="2810" w:type="dxa"/>
                  <w:shd w:val="clear" w:color="auto" w:fill="FFFFFF" w:themeFill="background1"/>
                  <w:vAlign w:val="center"/>
                </w:tcPr>
                <w:p>
                  <w:pPr>
                    <w:jc w:val="center"/>
                    <w:rPr>
                      <w:rFonts w:ascii="Times New Roman" w:hAnsi="Times New Roman" w:eastAsia="宋体" w:cs="Times New Roman"/>
                      <w:color w:val="FF0000"/>
                      <w:kern w:val="0"/>
                      <w:sz w:val="20"/>
                      <w:szCs w:val="21"/>
                    </w:rPr>
                  </w:pPr>
                  <w:r>
                    <w:rPr>
                      <w:rFonts w:hint="eastAsia" w:ascii="Times New Roman" w:hAnsi="Times New Roman" w:eastAsia="宋体" w:cs="Times New Roman"/>
                      <w:kern w:val="0"/>
                      <w:szCs w:val="21"/>
                    </w:rPr>
                    <w:t>浙江易测环境科技有限公司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0"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1</w:t>
                  </w:r>
                  <w:r>
                    <w:rPr>
                      <w:rFonts w:ascii="Times New Roman" w:hAnsi="Times New Roman" w:eastAsia="宋体" w:cs="Times New Roman"/>
                      <w:color w:val="000000" w:themeColor="text1"/>
                      <w:kern w:val="0"/>
                      <w:szCs w:val="21"/>
                      <w14:textFill>
                        <w14:solidFill>
                          <w14:schemeClr w14:val="tx1"/>
                        </w14:solidFill>
                      </w14:textFill>
                    </w:rPr>
                    <w:t>1</w:t>
                  </w:r>
                </w:p>
              </w:tc>
              <w:tc>
                <w:tcPr>
                  <w:tcW w:w="3265"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原子吸收分光光度计</w:t>
                  </w:r>
                </w:p>
              </w:tc>
              <w:tc>
                <w:tcPr>
                  <w:tcW w:w="1843"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仿宋" w:cs="Times New Roman"/>
                      <w:color w:val="000000" w:themeColor="text1"/>
                      <w:kern w:val="0"/>
                      <w:sz w:val="20"/>
                      <w:szCs w:val="21"/>
                      <w14:textFill>
                        <w14:solidFill>
                          <w14:schemeClr w14:val="tx1"/>
                        </w14:solidFill>
                      </w14:textFill>
                    </w:rPr>
                    <w:t>TAS-990AFG</w:t>
                  </w:r>
                </w:p>
              </w:tc>
              <w:tc>
                <w:tcPr>
                  <w:tcW w:w="2810"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Cs w:val="21"/>
                    </w:rPr>
                    <w:t>浙江易测环境科技有限公司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0"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 w:val="20"/>
                      <w:szCs w:val="21"/>
                      <w14:textFill>
                        <w14:solidFill>
                          <w14:schemeClr w14:val="tx1"/>
                        </w14:solidFill>
                      </w14:textFill>
                    </w:rPr>
                    <w:t>12</w:t>
                  </w:r>
                </w:p>
              </w:tc>
              <w:tc>
                <w:tcPr>
                  <w:tcW w:w="3265"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哈希分光光度计</w:t>
                  </w:r>
                  <w:r>
                    <w:rPr>
                      <w:rFonts w:ascii="Times New Roman" w:hAnsi="Times New Roman" w:eastAsia="宋体" w:cs="Times New Roman"/>
                      <w:color w:val="000000" w:themeColor="text1"/>
                      <w:kern w:val="0"/>
                      <w:sz w:val="20"/>
                      <w:szCs w:val="21"/>
                      <w14:textFill>
                        <w14:solidFill>
                          <w14:schemeClr w14:val="tx1"/>
                        </w14:solidFill>
                      </w14:textFill>
                    </w:rPr>
                    <w:t>DR2800</w:t>
                  </w:r>
                </w:p>
              </w:tc>
              <w:tc>
                <w:tcPr>
                  <w:tcW w:w="1843"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 w:val="20"/>
                      <w:szCs w:val="21"/>
                      <w14:textFill>
                        <w14:solidFill>
                          <w14:schemeClr w14:val="tx1"/>
                        </w14:solidFill>
                      </w14:textFill>
                    </w:rPr>
                    <w:t>YC-Lab-002</w:t>
                  </w:r>
                </w:p>
              </w:tc>
              <w:tc>
                <w:tcPr>
                  <w:tcW w:w="2810"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 w:val="20"/>
                      <w:szCs w:val="21"/>
                    </w:rPr>
                    <w:t>浙江易测环境科技有限公司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870"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 w:val="20"/>
                      <w:szCs w:val="21"/>
                      <w14:textFill>
                        <w14:solidFill>
                          <w14:schemeClr w14:val="tx1"/>
                        </w14:solidFill>
                      </w14:textFill>
                    </w:rPr>
                    <w:t>13</w:t>
                  </w:r>
                </w:p>
              </w:tc>
              <w:tc>
                <w:tcPr>
                  <w:tcW w:w="3265"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hint="eastAsia" w:ascii="Times New Roman" w:hAnsi="Times New Roman" w:eastAsia="宋体" w:cs="Times New Roman"/>
                      <w:color w:val="000000" w:themeColor="text1"/>
                      <w:kern w:val="0"/>
                      <w:sz w:val="20"/>
                      <w:szCs w:val="21"/>
                      <w14:textFill>
                        <w14:solidFill>
                          <w14:schemeClr w14:val="tx1"/>
                        </w14:solidFill>
                      </w14:textFill>
                    </w:rPr>
                    <w:t>消解器</w:t>
                  </w:r>
                </w:p>
              </w:tc>
              <w:tc>
                <w:tcPr>
                  <w:tcW w:w="1843" w:type="dxa"/>
                  <w:shd w:val="clear" w:color="auto" w:fill="FFFFFF" w:themeFill="background1"/>
                  <w:vAlign w:val="center"/>
                </w:tcPr>
                <w:p>
                  <w:pPr>
                    <w:jc w:val="center"/>
                    <w:rPr>
                      <w:rFonts w:ascii="Times New Roman" w:hAnsi="Times New Roman" w:eastAsia="宋体" w:cs="Times New Roman"/>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 w:val="20"/>
                      <w:szCs w:val="21"/>
                      <w14:textFill>
                        <w14:solidFill>
                          <w14:schemeClr w14:val="tx1"/>
                        </w14:solidFill>
                      </w14:textFill>
                    </w:rPr>
                    <w:t>YC-Lab-003</w:t>
                  </w:r>
                </w:p>
              </w:tc>
              <w:tc>
                <w:tcPr>
                  <w:tcW w:w="2810"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 w:val="20"/>
                      <w:szCs w:val="21"/>
                    </w:rPr>
                    <w:t>浙江易测环境科技有限公司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70" w:type="dxa"/>
                  <w:shd w:val="clear" w:color="auto" w:fill="FFFFFF" w:themeFill="background1"/>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14</w:t>
                  </w:r>
                </w:p>
              </w:tc>
              <w:tc>
                <w:tcPr>
                  <w:tcW w:w="3265" w:type="dxa"/>
                  <w:shd w:val="clear" w:color="auto" w:fill="FFFFFF" w:themeFill="background1"/>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鼓风干燥箱</w:t>
                  </w:r>
                </w:p>
              </w:tc>
              <w:tc>
                <w:tcPr>
                  <w:tcW w:w="1843" w:type="dxa"/>
                  <w:shd w:val="clear" w:color="auto" w:fill="FFFFFF" w:themeFill="background1"/>
                  <w:vAlign w:val="center"/>
                </w:tcPr>
                <w:p>
                  <w:pPr>
                    <w:jc w:val="center"/>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Y</w:t>
                  </w:r>
                  <w:r>
                    <w:rPr>
                      <w:rFonts w:ascii="Times New Roman" w:hAnsi="Times New Roman" w:eastAsia="宋体" w:cs="Times New Roman"/>
                      <w:color w:val="000000" w:themeColor="text1"/>
                      <w:kern w:val="0"/>
                      <w:szCs w:val="21"/>
                      <w14:textFill>
                        <w14:solidFill>
                          <w14:schemeClr w14:val="tx1"/>
                        </w14:solidFill>
                      </w14:textFill>
                    </w:rPr>
                    <w:t>C-L</w:t>
                  </w:r>
                  <w:r>
                    <w:rPr>
                      <w:rFonts w:hint="eastAsia" w:ascii="Times New Roman" w:hAnsi="Times New Roman" w:eastAsia="宋体" w:cs="Times New Roman"/>
                      <w:color w:val="000000" w:themeColor="text1"/>
                      <w:kern w:val="0"/>
                      <w:szCs w:val="21"/>
                      <w14:textFill>
                        <w14:solidFill>
                          <w14:schemeClr w14:val="tx1"/>
                        </w14:solidFill>
                      </w14:textFill>
                    </w:rPr>
                    <w:t>ab-</w:t>
                  </w:r>
                  <w:r>
                    <w:rPr>
                      <w:rFonts w:ascii="Times New Roman" w:hAnsi="Times New Roman" w:eastAsia="宋体" w:cs="Times New Roman"/>
                      <w:color w:val="000000" w:themeColor="text1"/>
                      <w:kern w:val="0"/>
                      <w:szCs w:val="21"/>
                      <w14:textFill>
                        <w14:solidFill>
                          <w14:schemeClr w14:val="tx1"/>
                        </w14:solidFill>
                      </w14:textFill>
                    </w:rPr>
                    <w:t>034</w:t>
                  </w:r>
                </w:p>
              </w:tc>
              <w:tc>
                <w:tcPr>
                  <w:tcW w:w="2810"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浙江易测环境科技有限公司</w:t>
                  </w:r>
                </w:p>
              </w:tc>
            </w:tr>
            <w:bookmarkEnd w:id="7"/>
          </w:tbl>
          <w:p>
            <w:pPr>
              <w:spacing w:before="156" w:beforeLines="50" w:after="156" w:afterLines="50"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三、噪声监测分析质量保证和质量控制</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为了确保此次验收监测所得数据的代表性、</w:t>
            </w:r>
            <w:r>
              <w:rPr>
                <w:rFonts w:ascii="Times New Roman" w:hAnsi="Times New Roman" w:eastAsia="宋体" w:cs="Times New Roman"/>
                <w:sz w:val="24"/>
              </w:rPr>
              <w:t>完整性和准确性，须对监测的全过程（包</w:t>
            </w:r>
            <w:r>
              <w:rPr>
                <w:rFonts w:hint="eastAsia" w:ascii="Times New Roman" w:hAnsi="Times New Roman" w:eastAsia="宋体" w:cs="Times New Roman"/>
                <w:sz w:val="24"/>
              </w:rPr>
              <w:t>括布点、</w:t>
            </w:r>
            <w:r>
              <w:rPr>
                <w:rFonts w:ascii="Times New Roman" w:hAnsi="Times New Roman" w:eastAsia="宋体" w:cs="Times New Roman"/>
                <w:sz w:val="24"/>
              </w:rPr>
              <w:t>采样、样品贮运、实验室分析、数据处理等）进行质量控制。</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1）严格按照验收监测方案的要求开展监测工作。</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2）合理布设监测点，保证各监测点位布设的科学性和代表性。</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3）采样人员严格遵照采样技术规范进行采样工作，认真填写采样记录，按规定</w:t>
            </w:r>
            <w:r>
              <w:rPr>
                <w:rFonts w:hint="eastAsia" w:ascii="Times New Roman" w:hAnsi="Times New Roman" w:eastAsia="宋体" w:cs="Times New Roman"/>
                <w:sz w:val="24"/>
              </w:rPr>
              <w:t>保存、</w:t>
            </w:r>
            <w:r>
              <w:rPr>
                <w:rFonts w:ascii="Times New Roman" w:hAnsi="Times New Roman" w:eastAsia="宋体" w:cs="Times New Roman"/>
                <w:sz w:val="24"/>
              </w:rPr>
              <w:t>运输样品。</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4）及时了解工况情况，确保监测过程中工况负荷满足验收要求。</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5）监测分析采用国家有关部门颁布的标准分析方法或推荐方法；所有监测仪器、</w:t>
            </w:r>
            <w:r>
              <w:rPr>
                <w:rFonts w:hint="eastAsia" w:ascii="Times New Roman" w:hAnsi="Times New Roman" w:eastAsia="宋体" w:cs="Times New Roman"/>
                <w:sz w:val="24"/>
              </w:rPr>
              <w:t>量具均经过计量部门检定合格并在有效期内使用。</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6）声级计在测试前后用标准发生源进行校准，校准前后仪器的灵敏度相差不大</w:t>
            </w:r>
            <w:r>
              <w:rPr>
                <w:rFonts w:hint="eastAsia" w:ascii="Times New Roman" w:hAnsi="Times New Roman" w:eastAsia="宋体" w:cs="Times New Roman"/>
                <w:sz w:val="24"/>
              </w:rPr>
              <w:t>于</w:t>
            </w:r>
            <w:r>
              <w:rPr>
                <w:rFonts w:ascii="Times New Roman" w:hAnsi="Times New Roman" w:eastAsia="宋体" w:cs="Times New Roman"/>
                <w:sz w:val="24"/>
              </w:rPr>
              <w:t>0.5dB。</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7）监测报告严格实行三级审核制度。</w:t>
            </w:r>
          </w:p>
          <w:p>
            <w:pPr>
              <w:spacing w:before="156" w:beforeLines="50" w:after="156" w:afterLines="50"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四、气体监测分析质量保证和质量控制</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为了确保此次验收监测所得数据的代表性、</w:t>
            </w:r>
            <w:r>
              <w:rPr>
                <w:rFonts w:ascii="Times New Roman" w:hAnsi="Times New Roman" w:eastAsia="宋体" w:cs="Times New Roman"/>
                <w:sz w:val="24"/>
              </w:rPr>
              <w:t>完整性和准确性，须对监测的全过程（包</w:t>
            </w:r>
            <w:r>
              <w:rPr>
                <w:rFonts w:hint="eastAsia" w:ascii="Times New Roman" w:hAnsi="Times New Roman" w:eastAsia="宋体" w:cs="Times New Roman"/>
                <w:sz w:val="24"/>
              </w:rPr>
              <w:t>括布点、</w:t>
            </w:r>
            <w:r>
              <w:rPr>
                <w:rFonts w:ascii="Times New Roman" w:hAnsi="Times New Roman" w:eastAsia="宋体" w:cs="Times New Roman"/>
                <w:sz w:val="24"/>
              </w:rPr>
              <w:t>采样、样品贮运、实验室分析、数据处理等）进行质量控制。</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1）严格按照验收监测方案的要求开展监测工作。</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2）合理布设监测点，保证各监测点位布设的科学性和代表性。</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3）采样人员严格遵照采样技术规范进行采样工作，认真填写采样记录，按规定</w:t>
            </w:r>
            <w:r>
              <w:rPr>
                <w:rFonts w:hint="eastAsia" w:ascii="Times New Roman" w:hAnsi="Times New Roman" w:eastAsia="宋体" w:cs="Times New Roman"/>
                <w:sz w:val="24"/>
              </w:rPr>
              <w:t>保存、</w:t>
            </w:r>
            <w:r>
              <w:rPr>
                <w:rFonts w:ascii="Times New Roman" w:hAnsi="Times New Roman" w:eastAsia="宋体" w:cs="Times New Roman"/>
                <w:sz w:val="24"/>
              </w:rPr>
              <w:t>运输样品。</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4）监测分析采用国家有关部门颁布的标准分析方法或推荐方法；监测人员经考</w:t>
            </w:r>
            <w:r>
              <w:rPr>
                <w:rFonts w:hint="eastAsia" w:ascii="Times New Roman" w:hAnsi="Times New Roman" w:eastAsia="宋体" w:cs="Times New Roman"/>
                <w:sz w:val="24"/>
              </w:rPr>
              <w:t>核合格并持证上岗；</w:t>
            </w:r>
            <w:r>
              <w:rPr>
                <w:rFonts w:ascii="Times New Roman" w:hAnsi="Times New Roman" w:eastAsia="宋体" w:cs="Times New Roman"/>
                <w:sz w:val="24"/>
              </w:rPr>
              <w:t>所有监测仪器、量具均经过计量部门检定合格并在有效期内使用。</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5）现场采样和测试，按照国家</w:t>
            </w:r>
            <w:r>
              <w:rPr>
                <w:rFonts w:hint="eastAsia" w:ascii="Times New Roman" w:hAnsi="Times New Roman" w:eastAsia="宋体" w:cs="Times New Roman"/>
                <w:sz w:val="24"/>
              </w:rPr>
              <w:t>生态环境部</w:t>
            </w:r>
            <w:r>
              <w:rPr>
                <w:rFonts w:ascii="Times New Roman" w:hAnsi="Times New Roman" w:eastAsia="宋体" w:cs="Times New Roman"/>
                <w:sz w:val="24"/>
              </w:rPr>
              <w:t>发布的《环境监测技术规范》和《环境空气监测</w:t>
            </w:r>
            <w:r>
              <w:rPr>
                <w:rFonts w:hint="eastAsia" w:ascii="Times New Roman" w:hAnsi="Times New Roman" w:eastAsia="宋体" w:cs="Times New Roman"/>
                <w:sz w:val="24"/>
              </w:rPr>
              <w:t>质量保证手册》</w:t>
            </w:r>
            <w:r>
              <w:rPr>
                <w:rFonts w:ascii="Times New Roman" w:hAnsi="Times New Roman" w:eastAsia="宋体" w:cs="Times New Roman"/>
                <w:sz w:val="24"/>
              </w:rPr>
              <w:t>的要求进行全过程质量控制。</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6）烟尘采样器在进入现场前应对应采样器流量计、流速计等进行校核。烟气监</w:t>
            </w:r>
            <w:r>
              <w:rPr>
                <w:rFonts w:hint="eastAsia" w:ascii="Times New Roman" w:hAnsi="Times New Roman" w:eastAsia="宋体" w:cs="Times New Roman"/>
                <w:sz w:val="24"/>
              </w:rPr>
              <w:t>测（</w:t>
            </w:r>
            <w:r>
              <w:rPr>
                <w:rFonts w:ascii="Times New Roman" w:hAnsi="Times New Roman" w:eastAsia="宋体" w:cs="Times New Roman"/>
                <w:sz w:val="24"/>
              </w:rPr>
              <w:t>分析）仪在测试前按照监测因子分别用标准气体和流量计对其进行校核（标定），</w:t>
            </w:r>
            <w:r>
              <w:rPr>
                <w:rFonts w:hint="eastAsia" w:ascii="Times New Roman" w:hAnsi="Times New Roman" w:eastAsia="宋体" w:cs="Times New Roman"/>
                <w:sz w:val="24"/>
              </w:rPr>
              <w:t>在测试时应保证其采样流量的准确。</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7）监测报告严格实行三级审核制度。</w:t>
            </w:r>
          </w:p>
          <w:p>
            <w:pPr>
              <w:spacing w:before="156" w:beforeLines="50" w:after="156" w:afterLines="50"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五、水质监测分析质量保证和质量控制</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水样采集、运输、保存和监测按照国家环境保护总局《水质采样技术指导》</w:t>
            </w:r>
            <w:r>
              <w:rPr>
                <w:rFonts w:ascii="Times New Roman" w:hAnsi="Times New Roman" w:eastAsia="宋体" w:cs="Times New Roman"/>
                <w:sz w:val="24"/>
              </w:rPr>
              <w:t>(HJ494-2009</w:t>
            </w:r>
            <w:r>
              <w:rPr>
                <w:rFonts w:hint="eastAsia" w:ascii="Times New Roman" w:hAnsi="Times New Roman" w:eastAsia="宋体" w:cs="Times New Roman"/>
                <w:sz w:val="24"/>
              </w:rPr>
              <w:t>）、《水质样品的保存和管理技术规定》</w:t>
            </w:r>
            <w:r>
              <w:rPr>
                <w:rFonts w:ascii="Times New Roman" w:hAnsi="Times New Roman" w:eastAsia="宋体" w:cs="Times New Roman"/>
                <w:sz w:val="24"/>
              </w:rPr>
              <w:t>(HJ493-2009)</w:t>
            </w:r>
            <w:r>
              <w:rPr>
                <w:rFonts w:hint="eastAsia" w:ascii="Times New Roman" w:hAnsi="Times New Roman" w:eastAsia="宋体" w:cs="Times New Roman"/>
                <w:sz w:val="24"/>
              </w:rPr>
              <w:t>、《环境监测质量管理技术导则》</w:t>
            </w:r>
            <w:r>
              <w:rPr>
                <w:rFonts w:ascii="Times New Roman" w:hAnsi="Times New Roman" w:eastAsia="宋体" w:cs="Times New Roman"/>
                <w:sz w:val="24"/>
              </w:rPr>
              <w:t>(HJ630-2011)</w:t>
            </w:r>
            <w:r>
              <w:rPr>
                <w:rFonts w:hint="eastAsia" w:ascii="Times New Roman" w:hAnsi="Times New Roman" w:eastAsia="宋体" w:cs="Times New Roman"/>
                <w:sz w:val="24"/>
              </w:rPr>
              <w:t>和关于印发《江苏省日常环境监测质量控制样采集、分析控制要求》的通知中的技术要求进行。</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）严格按照验收监测方案的要求开展监测工作。</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2</w:t>
            </w:r>
            <w:r>
              <w:rPr>
                <w:rFonts w:hint="eastAsia" w:ascii="Times New Roman" w:hAnsi="Times New Roman" w:eastAsia="宋体" w:cs="Times New Roman"/>
                <w:sz w:val="24"/>
              </w:rPr>
              <w:t>）合理布设监测点，保证各监测点位布设的科学性和代表性。</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3</w:t>
            </w:r>
            <w:r>
              <w:rPr>
                <w:rFonts w:hint="eastAsia" w:ascii="Times New Roman" w:hAnsi="Times New Roman" w:eastAsia="宋体" w:cs="Times New Roman"/>
                <w:sz w:val="24"/>
              </w:rPr>
              <w:t>）采样人员严格遵照采样技术规范进行采样工作，认真填写采样记录，按规定保存、运输样品。</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4</w:t>
            </w:r>
            <w:r>
              <w:rPr>
                <w:rFonts w:hint="eastAsia" w:ascii="Times New Roman" w:hAnsi="Times New Roman" w:eastAsia="宋体" w:cs="Times New Roman"/>
                <w:sz w:val="24"/>
              </w:rPr>
              <w:t>）监测分析采用国家有关部门颁布的标准分析方法或推荐方法；监测人员经考核合格并持证上岗；所有监测仪器、量具均经过计量部门检定合格并在有效期内使用。</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5</w:t>
            </w:r>
            <w:r>
              <w:rPr>
                <w:rFonts w:hint="eastAsia" w:ascii="Times New Roman" w:hAnsi="Times New Roman" w:eastAsia="宋体" w:cs="Times New Roman"/>
                <w:sz w:val="24"/>
              </w:rPr>
              <w:t>）水样的采集、运输、保存、实验室分析和数据计算的全过程均按《环境水质监测质量保证手册》（第四版）的要求进行。</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6</w:t>
            </w:r>
            <w:r>
              <w:rPr>
                <w:rFonts w:hint="eastAsia" w:ascii="Times New Roman" w:hAnsi="Times New Roman" w:eastAsia="宋体" w:cs="Times New Roman"/>
                <w:sz w:val="24"/>
              </w:rPr>
              <w:t>）采样过程中采集一定比例的平行样，实验室分析过程一般使用标准物质、</w:t>
            </w:r>
            <w:r>
              <w:rPr>
                <w:rFonts w:ascii="Times New Roman" w:hAnsi="Times New Roman" w:eastAsia="宋体" w:cs="Times New Roman"/>
                <w:sz w:val="24"/>
              </w:rPr>
              <w:t xml:space="preserve"> </w:t>
            </w:r>
            <w:r>
              <w:rPr>
                <w:rFonts w:hint="eastAsia" w:ascii="Times New Roman" w:hAnsi="Times New Roman" w:eastAsia="宋体" w:cs="Times New Roman"/>
                <w:sz w:val="24"/>
              </w:rPr>
              <w:t>采用空白试验、平行样测定、加标回收率测定等，并对质控数据分析。</w:t>
            </w:r>
          </w:p>
          <w:p>
            <w:pPr>
              <w:spacing w:line="480" w:lineRule="exact"/>
              <w:ind w:firstLine="480" w:firstLineChars="200"/>
              <w:rPr>
                <w:rFonts w:ascii="Times New Roman" w:hAnsi="Times New Roman" w:eastAsia="宋体" w:cs="Times New Roman"/>
                <w:sz w:val="24"/>
              </w:rPr>
            </w:pPr>
            <w:r>
              <w:rPr>
                <w:rFonts w:hint="eastAsia" w:ascii="Times New Roman" w:hAnsi="Times New Roman" w:eastAsia="宋体" w:cs="Times New Roman"/>
                <w:sz w:val="24"/>
              </w:rPr>
              <w:t>（</w:t>
            </w:r>
            <w:r>
              <w:rPr>
                <w:rFonts w:ascii="Times New Roman" w:hAnsi="Times New Roman" w:eastAsia="宋体" w:cs="Times New Roman"/>
                <w:sz w:val="24"/>
              </w:rPr>
              <w:t>7</w:t>
            </w:r>
            <w:r>
              <w:rPr>
                <w:rFonts w:hint="eastAsia" w:ascii="Times New Roman" w:hAnsi="Times New Roman" w:eastAsia="宋体" w:cs="Times New Roman"/>
                <w:sz w:val="24"/>
              </w:rPr>
              <w:t>）监测报告严格实行三级审核制度。</w:t>
            </w:r>
          </w:p>
          <w:p>
            <w:pPr>
              <w:spacing w:line="360" w:lineRule="auto"/>
              <w:ind w:firstLine="480" w:firstLineChars="200"/>
              <w:rPr>
                <w:rFonts w:ascii="Times New Roman" w:hAnsi="Times New Roman" w:eastAsia="宋体" w:cs="Times New Roman"/>
                <w:sz w:val="24"/>
              </w:rPr>
            </w:pPr>
          </w:p>
          <w:p>
            <w:pPr>
              <w:spacing w:line="360" w:lineRule="auto"/>
              <w:rPr>
                <w:rFonts w:ascii="Times New Roman" w:hAnsi="Times New Roman" w:eastAsia="宋体" w:cs="Times New Roman"/>
                <w:sz w:val="24"/>
              </w:rPr>
            </w:pPr>
          </w:p>
          <w:p>
            <w:pPr>
              <w:spacing w:line="360" w:lineRule="auto"/>
              <w:jc w:val="left"/>
              <w:rPr>
                <w:rFonts w:ascii="Times New Roman" w:hAnsi="Times New Roman" w:eastAsia="宋体" w:cs="Times New Roman"/>
                <w:sz w:val="24"/>
              </w:rPr>
            </w:pPr>
          </w:p>
        </w:tc>
      </w:tr>
    </w:tbl>
    <w:p>
      <w:pPr>
        <w:rPr>
          <w:rFonts w:ascii="Times New Roman" w:hAnsi="Times New Roman" w:eastAsia="宋体" w:cs="Times New Roman"/>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outlineLvl w:val="0"/>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表六 验收监测内容</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14" w:type="dxa"/>
            <w:vAlign w:val="center"/>
          </w:tcPr>
          <w:p>
            <w:pPr>
              <w:spacing w:before="156" w:beforeLines="50" w:after="156" w:afterLines="50"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一、废气</w:t>
            </w:r>
          </w:p>
          <w:p>
            <w:pPr>
              <w:spacing w:before="156" w:beforeLines="50" w:after="156" w:afterLines="50"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本项目废气监测点位、项目和频次见表</w:t>
            </w:r>
            <w:r>
              <w:rPr>
                <w:rFonts w:ascii="Times New Roman" w:hAnsi="Times New Roman" w:eastAsia="宋体" w:cs="Times New Roman"/>
                <w:sz w:val="24"/>
              </w:rPr>
              <w:t>6-1。</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 xml:space="preserve">6-1  </w:t>
            </w:r>
            <w:r>
              <w:rPr>
                <w:rFonts w:hint="eastAsia" w:ascii="Times New Roman" w:hAnsi="Times New Roman" w:eastAsia="宋体" w:cs="Times New Roman"/>
                <w:b/>
                <w:bCs/>
                <w:sz w:val="24"/>
              </w:rPr>
              <w:t>废气监测方案</w:t>
            </w:r>
          </w:p>
          <w:tbl>
            <w:tblPr>
              <w:tblStyle w:val="17"/>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36"/>
              <w:gridCol w:w="1636"/>
              <w:gridCol w:w="1223"/>
              <w:gridCol w:w="2468"/>
              <w:gridCol w:w="182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62" w:type="pct"/>
                  <w:gridSpan w:val="2"/>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监测点位置</w:t>
                  </w:r>
                </w:p>
              </w:tc>
              <w:tc>
                <w:tcPr>
                  <w:tcW w:w="696"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监测符号</w:t>
                  </w:r>
                </w:p>
              </w:tc>
              <w:tc>
                <w:tcPr>
                  <w:tcW w:w="1404"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监测项目</w:t>
                  </w:r>
                </w:p>
              </w:tc>
              <w:tc>
                <w:tcPr>
                  <w:tcW w:w="1038" w:type="pc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监测周期、频率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1" w:hRule="atLeast"/>
                <w:jc w:val="center"/>
              </w:trPr>
              <w:tc>
                <w:tcPr>
                  <w:tcW w:w="931" w:type="pct"/>
                  <w:vMerge w:val="restart"/>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有组织废气</w:t>
                  </w:r>
                </w:p>
              </w:tc>
              <w:tc>
                <w:tcPr>
                  <w:tcW w:w="931" w:type="pct"/>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废气处理设施进口</w:t>
                  </w:r>
                  <w:r>
                    <w:rPr>
                      <w:rFonts w:hint="eastAsia" w:ascii="Times New Roman" w:hAnsi="Times New Roman" w:eastAsia="宋体" w:cs="Times New Roman"/>
                      <w:kern w:val="0"/>
                      <w:szCs w:val="21"/>
                    </w:rPr>
                    <w:t>*</w:t>
                  </w:r>
                </w:p>
              </w:tc>
              <w:tc>
                <w:tcPr>
                  <w:tcW w:w="696"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YQ1</w:t>
                  </w:r>
                </w:p>
              </w:tc>
              <w:tc>
                <w:tcPr>
                  <w:tcW w:w="1404" w:type="pct"/>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颗粒物</w:t>
                  </w:r>
                </w:p>
              </w:tc>
              <w:tc>
                <w:tcPr>
                  <w:tcW w:w="1038" w:type="pct"/>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监测2天，每天3次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0" w:hRule="atLeast"/>
                <w:jc w:val="center"/>
              </w:trPr>
              <w:tc>
                <w:tcPr>
                  <w:tcW w:w="931" w:type="pct"/>
                  <w:vMerge w:val="continue"/>
                  <w:shd w:val="clear" w:color="auto" w:fill="FFFFFF" w:themeFill="background1"/>
                  <w:vAlign w:val="center"/>
                </w:tcPr>
                <w:p>
                  <w:pPr>
                    <w:jc w:val="center"/>
                    <w:rPr>
                      <w:rFonts w:ascii="Times New Roman" w:hAnsi="Times New Roman" w:eastAsia="宋体" w:cs="Times New Roman"/>
                      <w:kern w:val="0"/>
                      <w:sz w:val="20"/>
                      <w:szCs w:val="21"/>
                    </w:rPr>
                  </w:pPr>
                </w:p>
              </w:tc>
              <w:tc>
                <w:tcPr>
                  <w:tcW w:w="931"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696"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YQ2</w:t>
                  </w:r>
                </w:p>
              </w:tc>
              <w:tc>
                <w:tcPr>
                  <w:tcW w:w="1404"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38" w:type="pct"/>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1" w:type="pct"/>
                  <w:vMerge w:val="continue"/>
                  <w:shd w:val="clear" w:color="auto" w:fill="FFFFFF" w:themeFill="background1"/>
                  <w:vAlign w:val="center"/>
                </w:tcPr>
                <w:p>
                  <w:pPr>
                    <w:jc w:val="center"/>
                    <w:rPr>
                      <w:rFonts w:ascii="Times New Roman" w:hAnsi="Times New Roman" w:eastAsia="宋体" w:cs="Times New Roman"/>
                      <w:kern w:val="0"/>
                      <w:sz w:val="20"/>
                      <w:szCs w:val="21"/>
                    </w:rPr>
                  </w:pPr>
                </w:p>
              </w:tc>
              <w:tc>
                <w:tcPr>
                  <w:tcW w:w="931"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废气处理设施出口</w:t>
                  </w:r>
                </w:p>
              </w:tc>
              <w:tc>
                <w:tcPr>
                  <w:tcW w:w="696" w:type="pct"/>
                  <w:tcBorders>
                    <w:bottom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YQ3</w:t>
                  </w:r>
                </w:p>
              </w:tc>
              <w:tc>
                <w:tcPr>
                  <w:tcW w:w="1404" w:type="pct"/>
                  <w:vMerge w:val="continue"/>
                  <w:tcBorders>
                    <w:bottom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p>
              </w:tc>
              <w:tc>
                <w:tcPr>
                  <w:tcW w:w="1038" w:type="pct"/>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1" w:type="pct"/>
                  <w:vMerge w:val="restart"/>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无组织废气</w:t>
                  </w:r>
                </w:p>
              </w:tc>
              <w:tc>
                <w:tcPr>
                  <w:tcW w:w="931"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厂界上风向</w:t>
                  </w:r>
                </w:p>
              </w:tc>
              <w:tc>
                <w:tcPr>
                  <w:tcW w:w="696" w:type="pct"/>
                  <w:tcBorders>
                    <w:top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WQ1</w:t>
                  </w:r>
                </w:p>
              </w:tc>
              <w:tc>
                <w:tcPr>
                  <w:tcW w:w="1404" w:type="pct"/>
                  <w:vMerge w:val="restart"/>
                  <w:tcBorders>
                    <w:top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颗粒物</w:t>
                  </w:r>
                </w:p>
              </w:tc>
              <w:tc>
                <w:tcPr>
                  <w:tcW w:w="1038" w:type="pct"/>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1" w:type="pct"/>
                  <w:vMerge w:val="continue"/>
                  <w:shd w:val="clear" w:color="auto" w:fill="FFFFFF" w:themeFill="background1"/>
                  <w:vAlign w:val="center"/>
                </w:tcPr>
                <w:p>
                  <w:pPr>
                    <w:jc w:val="center"/>
                    <w:rPr>
                      <w:rFonts w:ascii="Times New Roman" w:hAnsi="Times New Roman" w:eastAsia="宋体" w:cs="Times New Roman"/>
                      <w:kern w:val="0"/>
                      <w:sz w:val="20"/>
                      <w:szCs w:val="21"/>
                    </w:rPr>
                  </w:pPr>
                </w:p>
              </w:tc>
              <w:tc>
                <w:tcPr>
                  <w:tcW w:w="931"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厂界下风向</w:t>
                  </w:r>
                </w:p>
              </w:tc>
              <w:tc>
                <w:tcPr>
                  <w:tcW w:w="696"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WQ2</w:t>
                  </w:r>
                </w:p>
              </w:tc>
              <w:tc>
                <w:tcPr>
                  <w:tcW w:w="1404"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38" w:type="pct"/>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1" w:type="pct"/>
                  <w:vMerge w:val="continue"/>
                  <w:shd w:val="clear" w:color="auto" w:fill="FFFFFF" w:themeFill="background1"/>
                  <w:vAlign w:val="center"/>
                </w:tcPr>
                <w:p>
                  <w:pPr>
                    <w:jc w:val="center"/>
                    <w:rPr>
                      <w:rFonts w:ascii="Times New Roman" w:hAnsi="Times New Roman" w:eastAsia="宋体" w:cs="Times New Roman"/>
                      <w:kern w:val="0"/>
                      <w:sz w:val="20"/>
                      <w:szCs w:val="21"/>
                    </w:rPr>
                  </w:pPr>
                </w:p>
              </w:tc>
              <w:tc>
                <w:tcPr>
                  <w:tcW w:w="931"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厂界下风向</w:t>
                  </w:r>
                </w:p>
              </w:tc>
              <w:tc>
                <w:tcPr>
                  <w:tcW w:w="696"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WQ3</w:t>
                  </w:r>
                </w:p>
              </w:tc>
              <w:tc>
                <w:tcPr>
                  <w:tcW w:w="1404"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38" w:type="pct"/>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31" w:type="pct"/>
                  <w:vMerge w:val="continue"/>
                  <w:shd w:val="clear" w:color="auto" w:fill="FFFFFF" w:themeFill="background1"/>
                  <w:vAlign w:val="center"/>
                </w:tcPr>
                <w:p>
                  <w:pPr>
                    <w:jc w:val="center"/>
                    <w:rPr>
                      <w:rFonts w:ascii="Times New Roman" w:hAnsi="Times New Roman" w:eastAsia="宋体" w:cs="Times New Roman"/>
                      <w:kern w:val="0"/>
                      <w:sz w:val="20"/>
                      <w:szCs w:val="21"/>
                    </w:rPr>
                  </w:pPr>
                </w:p>
              </w:tc>
              <w:tc>
                <w:tcPr>
                  <w:tcW w:w="931"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厂界下风向</w:t>
                  </w:r>
                </w:p>
              </w:tc>
              <w:tc>
                <w:tcPr>
                  <w:tcW w:w="696"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WQ4</w:t>
                  </w:r>
                </w:p>
              </w:tc>
              <w:tc>
                <w:tcPr>
                  <w:tcW w:w="1404" w:type="pct"/>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038" w:type="pct"/>
                  <w:vMerge w:val="continue"/>
                  <w:shd w:val="clear" w:color="auto" w:fill="FFFFFF" w:themeFill="background1"/>
                  <w:vAlign w:val="center"/>
                </w:tcPr>
                <w:p>
                  <w:pPr>
                    <w:jc w:val="center"/>
                    <w:rPr>
                      <w:rFonts w:ascii="Times New Roman" w:hAnsi="Times New Roman" w:eastAsia="宋体" w:cs="Times New Roman"/>
                      <w:kern w:val="0"/>
                      <w:szCs w:val="21"/>
                    </w:rPr>
                  </w:pPr>
                </w:p>
              </w:tc>
            </w:tr>
          </w:tbl>
          <w:p>
            <w:pPr>
              <w:spacing w:before="156" w:beforeLines="50" w:after="156" w:afterLines="50"/>
              <w:jc w:val="left"/>
              <w:rPr>
                <w:rFonts w:ascii="Times New Roman" w:hAnsi="Times New Roman" w:eastAsia="宋体" w:cs="Times New Roman"/>
                <w:sz w:val="24"/>
              </w:rPr>
            </w:pPr>
            <w:r>
              <w:rPr>
                <w:rFonts w:hint="eastAsia" w:ascii="Times New Roman" w:hAnsi="Times New Roman" w:eastAsia="宋体" w:cs="Times New Roman"/>
                <w:sz w:val="24"/>
              </w:rPr>
              <w:t>注</w:t>
            </w:r>
            <w:r>
              <w:rPr>
                <w:rFonts w:hint="eastAsia" w:ascii="Times New Roman" w:hAnsi="Times New Roman" w:eastAsia="宋体" w:cs="Times New Roman"/>
                <w:b/>
                <w:bCs/>
                <w:sz w:val="24"/>
              </w:rPr>
              <w:t>：*本项目两套布袋除尘处理后合并至</w:t>
            </w:r>
            <w:r>
              <w:rPr>
                <w:rFonts w:ascii="Times New Roman" w:hAnsi="Times New Roman" w:eastAsia="宋体" w:cs="Times New Roman"/>
                <w:b/>
                <w:bCs/>
                <w:sz w:val="24"/>
              </w:rPr>
              <w:t>1个排气筒排放</w:t>
            </w:r>
          </w:p>
          <w:p>
            <w:pPr>
              <w:spacing w:before="156" w:beforeLines="50" w:after="156" w:afterLines="50"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二、废水</w:t>
            </w:r>
          </w:p>
          <w:p>
            <w:pPr>
              <w:spacing w:before="156" w:beforeLines="50" w:after="156" w:afterLines="50"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本项目废水监测点位、项目和频次见表</w:t>
            </w:r>
            <w:r>
              <w:rPr>
                <w:rFonts w:ascii="Times New Roman" w:hAnsi="Times New Roman" w:eastAsia="宋体" w:cs="Times New Roman"/>
                <w:sz w:val="24"/>
              </w:rPr>
              <w:t>6-2。</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 xml:space="preserve">6-2 </w:t>
            </w:r>
            <w:r>
              <w:rPr>
                <w:rFonts w:hint="eastAsia" w:ascii="Times New Roman" w:hAnsi="Times New Roman" w:eastAsia="宋体" w:cs="Times New Roman"/>
                <w:b/>
                <w:bCs/>
                <w:sz w:val="24"/>
              </w:rPr>
              <w:t>废水监测方案</w:t>
            </w:r>
          </w:p>
          <w:tbl>
            <w:tblPr>
              <w:tblStyle w:val="1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010"/>
              <w:gridCol w:w="1504"/>
              <w:gridCol w:w="3033"/>
              <w:gridCol w:w="224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10"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监测点位置</w:t>
                  </w:r>
                </w:p>
              </w:tc>
              <w:tc>
                <w:tcPr>
                  <w:tcW w:w="1504"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监测符号</w:t>
                  </w:r>
                </w:p>
              </w:tc>
              <w:tc>
                <w:tcPr>
                  <w:tcW w:w="3033"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监测项目</w:t>
                  </w:r>
                </w:p>
              </w:tc>
              <w:tc>
                <w:tcPr>
                  <w:tcW w:w="2241"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监测周期、频率</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010"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废水总排口</w:t>
                  </w:r>
                </w:p>
              </w:tc>
              <w:tc>
                <w:tcPr>
                  <w:tcW w:w="1504"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FS1</w:t>
                  </w:r>
                </w:p>
              </w:tc>
              <w:tc>
                <w:tcPr>
                  <w:tcW w:w="303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pH值、化学需氧量、氨氮、悬浮物、总磷、阴离子表面活性剂、锌、石油类</w:t>
                  </w:r>
                </w:p>
              </w:tc>
              <w:tc>
                <w:tcPr>
                  <w:tcW w:w="2241"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监测2天，每天3次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010"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废水进口</w:t>
                  </w:r>
                </w:p>
              </w:tc>
              <w:tc>
                <w:tcPr>
                  <w:tcW w:w="1504"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FS2</w:t>
                  </w:r>
                </w:p>
              </w:tc>
              <w:tc>
                <w:tcPr>
                  <w:tcW w:w="303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pH值、化学需氧量、氨氮、悬浮物、总磷、阴离子表面活性剂、锌、石油类</w:t>
                  </w:r>
                </w:p>
              </w:tc>
              <w:tc>
                <w:tcPr>
                  <w:tcW w:w="2241"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监测2天，每天3次</w:t>
                  </w:r>
                </w:p>
              </w:tc>
            </w:tr>
          </w:tbl>
          <w:p>
            <w:pPr>
              <w:spacing w:before="156" w:beforeLines="50" w:after="156" w:afterLines="50"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二、噪声</w:t>
            </w:r>
          </w:p>
          <w:p>
            <w:pPr>
              <w:spacing w:before="156" w:beforeLines="50" w:after="156" w:afterLines="50"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sz w:val="24"/>
              </w:rPr>
              <w:t>本项目噪声监测点位、项目和频次见表</w:t>
            </w:r>
            <w:r>
              <w:rPr>
                <w:rFonts w:ascii="Times New Roman" w:hAnsi="Times New Roman" w:eastAsia="宋体" w:cs="Times New Roman"/>
                <w:sz w:val="24"/>
              </w:rPr>
              <w:t>6-3。</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 xml:space="preserve">6-3  </w:t>
            </w:r>
            <w:r>
              <w:rPr>
                <w:rFonts w:hint="eastAsia" w:ascii="Times New Roman" w:hAnsi="Times New Roman" w:eastAsia="宋体" w:cs="Times New Roman"/>
                <w:b/>
                <w:bCs/>
                <w:sz w:val="24"/>
              </w:rPr>
              <w:t>噪声监测方案</w:t>
            </w:r>
          </w:p>
          <w:tbl>
            <w:tblPr>
              <w:tblStyle w:val="17"/>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23"/>
              <w:gridCol w:w="1754"/>
              <w:gridCol w:w="1795"/>
              <w:gridCol w:w="301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65" w:type="pct"/>
                  <w:shd w:val="clear" w:color="auto" w:fill="FFFFFF" w:themeFill="background1"/>
                  <w:vAlign w:val="center"/>
                </w:tcPr>
                <w:p>
                  <w:pPr>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监测点位置</w:t>
                  </w:r>
                </w:p>
              </w:tc>
              <w:tc>
                <w:tcPr>
                  <w:tcW w:w="998" w:type="pct"/>
                  <w:shd w:val="clear" w:color="auto" w:fill="FFFFFF" w:themeFill="background1"/>
                  <w:vAlign w:val="center"/>
                </w:tcPr>
                <w:p>
                  <w:pPr>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监测符号</w:t>
                  </w:r>
                </w:p>
              </w:tc>
              <w:tc>
                <w:tcPr>
                  <w:tcW w:w="1021" w:type="pct"/>
                  <w:shd w:val="clear" w:color="auto" w:fill="FFFFFF" w:themeFill="background1"/>
                  <w:vAlign w:val="center"/>
                </w:tcPr>
                <w:p>
                  <w:pPr>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监测项目</w:t>
                  </w:r>
                </w:p>
              </w:tc>
              <w:tc>
                <w:tcPr>
                  <w:tcW w:w="1716" w:type="pct"/>
                  <w:shd w:val="clear" w:color="auto" w:fill="FFFFFF" w:themeFill="background1"/>
                  <w:vAlign w:val="center"/>
                </w:tcPr>
                <w:p>
                  <w:pPr>
                    <w:spacing w:line="400" w:lineRule="exact"/>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监测周期、监测时段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265" w:type="pc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厂界东侧</w:t>
                  </w:r>
                </w:p>
              </w:tc>
              <w:tc>
                <w:tcPr>
                  <w:tcW w:w="998"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Z1</w:t>
                  </w:r>
                </w:p>
              </w:tc>
              <w:tc>
                <w:tcPr>
                  <w:tcW w:w="1021" w:type="pc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厂界噪声</w:t>
                  </w:r>
                </w:p>
              </w:tc>
              <w:tc>
                <w:tcPr>
                  <w:tcW w:w="1716" w:type="pct"/>
                  <w:vMerge w:val="restar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监测2天，昼间</w:t>
                  </w:r>
                  <w:r>
                    <w:rPr>
                      <w:rFonts w:ascii="Times New Roman" w:hAnsi="Times New Roman" w:eastAsia="宋体" w:cs="Times New Roman"/>
                      <w:kern w:val="0"/>
                      <w:szCs w:val="21"/>
                    </w:rPr>
                    <w:t>2</w:t>
                  </w:r>
                  <w:r>
                    <w:rPr>
                      <w:rFonts w:hint="eastAsia" w:ascii="Times New Roman" w:hAnsi="Times New Roman" w:eastAsia="宋体" w:cs="Times New Roman"/>
                      <w:kern w:val="0"/>
                      <w:szCs w:val="21"/>
                    </w:rPr>
                    <w:t>次</w:t>
                  </w:r>
                </w:p>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监测时长</w:t>
                  </w:r>
                  <w:r>
                    <w:rPr>
                      <w:rFonts w:ascii="Times New Roman" w:hAnsi="Times New Roman" w:eastAsia="宋体" w:cs="Times New Roman"/>
                      <w:kern w:val="0"/>
                      <w:szCs w:val="21"/>
                    </w:rPr>
                    <w:t>53</w:t>
                  </w:r>
                  <w:r>
                    <w:rPr>
                      <w:rFonts w:hint="eastAsia" w:ascii="Times New Roman" w:hAnsi="Times New Roman" w:eastAsia="宋体" w:cs="Times New Roman"/>
                      <w:kern w:val="0"/>
                      <w:szCs w:val="21"/>
                    </w:rPr>
                    <w:t>min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65" w:type="pc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厂界南侧</w:t>
                  </w:r>
                </w:p>
              </w:tc>
              <w:tc>
                <w:tcPr>
                  <w:tcW w:w="998"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Z2</w:t>
                  </w:r>
                </w:p>
              </w:tc>
              <w:tc>
                <w:tcPr>
                  <w:tcW w:w="1021" w:type="pc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厂界噪声</w:t>
                  </w:r>
                </w:p>
              </w:tc>
              <w:tc>
                <w:tcPr>
                  <w:tcW w:w="1716" w:type="pct"/>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1265" w:type="pc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厂界西侧</w:t>
                  </w:r>
                </w:p>
              </w:tc>
              <w:tc>
                <w:tcPr>
                  <w:tcW w:w="998"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Z3</w:t>
                  </w:r>
                </w:p>
              </w:tc>
              <w:tc>
                <w:tcPr>
                  <w:tcW w:w="1021" w:type="pc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厂界噪声</w:t>
                  </w:r>
                </w:p>
              </w:tc>
              <w:tc>
                <w:tcPr>
                  <w:tcW w:w="1716" w:type="pct"/>
                  <w:vMerge w:val="continue"/>
                  <w:shd w:val="clear" w:color="auto" w:fill="FFFFFF" w:themeFill="background1"/>
                  <w:vAlign w:val="center"/>
                </w:tcPr>
                <w:p>
                  <w:pPr>
                    <w:jc w:val="center"/>
                    <w:rPr>
                      <w:rFonts w:ascii="Times New Roman" w:hAnsi="Times New Roman" w:eastAsia="宋体" w:cs="Times New Roman"/>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265" w:type="pc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厂界北侧</w:t>
                  </w:r>
                </w:p>
              </w:tc>
              <w:tc>
                <w:tcPr>
                  <w:tcW w:w="998" w:type="pc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Z4</w:t>
                  </w:r>
                </w:p>
              </w:tc>
              <w:tc>
                <w:tcPr>
                  <w:tcW w:w="1021" w:type="pc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厂界噪声</w:t>
                  </w:r>
                </w:p>
              </w:tc>
              <w:tc>
                <w:tcPr>
                  <w:tcW w:w="1716" w:type="pct"/>
                  <w:vMerge w:val="continue"/>
                  <w:shd w:val="clear" w:color="auto" w:fill="FFFFFF" w:themeFill="background1"/>
                  <w:vAlign w:val="center"/>
                </w:tcPr>
                <w:p>
                  <w:pPr>
                    <w:jc w:val="center"/>
                    <w:rPr>
                      <w:rFonts w:ascii="Times New Roman" w:hAnsi="Times New Roman" w:eastAsia="宋体" w:cs="Times New Roman"/>
                      <w:kern w:val="0"/>
                      <w:szCs w:val="21"/>
                    </w:rPr>
                  </w:pPr>
                </w:p>
              </w:tc>
            </w:tr>
          </w:tbl>
          <w:p>
            <w:pPr>
              <w:spacing w:before="156" w:beforeLines="50"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四、验收监测点位图</w:t>
            </w:r>
          </w:p>
          <w:p>
            <w:pPr>
              <w:spacing w:before="156" w:beforeLines="50" w:line="360" w:lineRule="auto"/>
              <w:ind w:firstLine="480" w:firstLineChars="200"/>
              <w:rPr>
                <w:rFonts w:ascii="Times New Roman" w:hAnsi="Times New Roman" w:eastAsia="宋体" w:cs="Times New Roman"/>
                <w:b/>
                <w:bCs/>
                <w:sz w:val="24"/>
              </w:rPr>
            </w:pPr>
            <w:r>
              <w:rPr>
                <w:rFonts w:hint="eastAsia" w:ascii="Times New Roman" w:hAnsi="Times New Roman" w:eastAsia="宋体" w:cs="Times New Roman"/>
                <w:sz w:val="24"/>
              </w:rPr>
              <w:t>本项目废气、废水及噪声监测点位布置图见图</w:t>
            </w:r>
            <w:r>
              <w:rPr>
                <w:rFonts w:ascii="Times New Roman" w:hAnsi="Times New Roman" w:eastAsia="宋体" w:cs="Times New Roman"/>
                <w:sz w:val="24"/>
              </w:rPr>
              <w:t>6</w:t>
            </w:r>
            <w:r>
              <w:rPr>
                <w:rFonts w:hint="eastAsia" w:ascii="Times New Roman" w:hAnsi="Times New Roman" w:eastAsia="宋体" w:cs="Times New Roman"/>
                <w:sz w:val="24"/>
              </w:rPr>
              <w:t>-</w:t>
            </w:r>
            <w:r>
              <w:rPr>
                <w:rFonts w:ascii="Times New Roman" w:hAnsi="Times New Roman" w:eastAsia="宋体" w:cs="Times New Roman"/>
                <w:sz w:val="24"/>
              </w:rPr>
              <w:t>1</w:t>
            </w:r>
            <w:r>
              <w:rPr>
                <w:rFonts w:hint="eastAsia" w:ascii="Times New Roman" w:hAnsi="Times New Roman" w:eastAsia="宋体" w:cs="Times New Roman"/>
                <w:sz w:val="24"/>
              </w:rPr>
              <w:t>。</w:t>
            </w:r>
          </w:p>
          <w:p>
            <w:pPr>
              <w:jc w:val="center"/>
              <w:rPr>
                <w:rFonts w:ascii="Times New Roman" w:hAnsi="Times New Roman" w:eastAsia="宋体" w:cs="Times New Roman"/>
                <w:b/>
                <w:bCs/>
                <w:sz w:val="24"/>
              </w:rPr>
            </w:pPr>
            <w:r>
              <w:rPr>
                <w:rFonts w:ascii="Times New Roman" w:hAnsi="Times New Roman" w:eastAsia="宋体" w:cs="Times New Roman"/>
                <w:b/>
                <w:bCs/>
                <w:sz w:val="24"/>
              </w:rPr>
              <w:drawing>
                <wp:inline distT="0" distB="0" distL="0" distR="0">
                  <wp:extent cx="5431155" cy="33343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443751" cy="3341845"/>
                          </a:xfrm>
                          <a:prstGeom prst="rect">
                            <a:avLst/>
                          </a:prstGeom>
                        </pic:spPr>
                      </pic:pic>
                    </a:graphicData>
                  </a:graphic>
                </wp:inline>
              </w:drawing>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 xml:space="preserve">6-1  </w:t>
            </w:r>
            <w:r>
              <w:rPr>
                <w:rFonts w:hint="eastAsia" w:ascii="Times New Roman" w:hAnsi="Times New Roman" w:eastAsia="宋体" w:cs="Times New Roman"/>
                <w:b/>
                <w:bCs/>
                <w:sz w:val="24"/>
              </w:rPr>
              <w:t>本项目废气、废水及噪声监测点位布置图</w:t>
            </w:r>
          </w:p>
          <w:p>
            <w:pPr>
              <w:spacing w:before="156" w:beforeLines="50" w:line="360" w:lineRule="auto"/>
              <w:ind w:firstLine="482" w:firstLineChars="200"/>
              <w:rPr>
                <w:rFonts w:ascii="Times New Roman" w:hAnsi="Times New Roman" w:eastAsia="宋体" w:cs="Times New Roman"/>
                <w:b/>
                <w:bCs/>
                <w:sz w:val="24"/>
              </w:rPr>
            </w:pPr>
          </w:p>
          <w:p>
            <w:pPr>
              <w:spacing w:before="156" w:beforeLines="50" w:line="360" w:lineRule="auto"/>
              <w:ind w:firstLine="482" w:firstLineChars="200"/>
              <w:rPr>
                <w:rFonts w:ascii="Times New Roman" w:hAnsi="Times New Roman" w:eastAsia="宋体" w:cs="Times New Roman"/>
                <w:b/>
                <w:bCs/>
                <w:sz w:val="24"/>
              </w:rPr>
            </w:pPr>
          </w:p>
          <w:p>
            <w:pPr>
              <w:spacing w:before="156" w:beforeLines="50" w:line="360" w:lineRule="auto"/>
              <w:ind w:firstLine="482" w:firstLineChars="200"/>
              <w:rPr>
                <w:rFonts w:ascii="Times New Roman" w:hAnsi="Times New Roman" w:eastAsia="宋体" w:cs="Times New Roman"/>
                <w:b/>
                <w:bCs/>
                <w:sz w:val="24"/>
              </w:rPr>
            </w:pPr>
          </w:p>
          <w:p>
            <w:pPr>
              <w:spacing w:before="156" w:beforeLines="50" w:line="360" w:lineRule="auto"/>
              <w:ind w:firstLine="482" w:firstLineChars="200"/>
              <w:rPr>
                <w:rFonts w:ascii="Times New Roman" w:hAnsi="Times New Roman" w:eastAsia="宋体" w:cs="Times New Roman"/>
                <w:b/>
                <w:bCs/>
                <w:sz w:val="24"/>
              </w:rPr>
            </w:pPr>
          </w:p>
          <w:p>
            <w:pPr>
              <w:spacing w:before="156" w:beforeLines="50" w:line="360" w:lineRule="auto"/>
              <w:ind w:firstLine="482" w:firstLineChars="200"/>
              <w:rPr>
                <w:rFonts w:ascii="Times New Roman" w:hAnsi="Times New Roman" w:eastAsia="宋体" w:cs="Times New Roman"/>
                <w:b/>
                <w:bCs/>
                <w:sz w:val="24"/>
              </w:rPr>
            </w:pPr>
          </w:p>
          <w:p>
            <w:pPr>
              <w:spacing w:before="156" w:beforeLines="50" w:line="360" w:lineRule="auto"/>
              <w:ind w:firstLine="482" w:firstLineChars="200"/>
              <w:rPr>
                <w:rFonts w:ascii="Times New Roman" w:hAnsi="Times New Roman" w:eastAsia="宋体" w:cs="Times New Roman"/>
                <w:b/>
                <w:bCs/>
                <w:sz w:val="24"/>
              </w:rPr>
            </w:pPr>
          </w:p>
          <w:p>
            <w:pPr>
              <w:spacing w:before="156" w:beforeLines="50" w:line="360" w:lineRule="auto"/>
              <w:rPr>
                <w:rFonts w:ascii="Times New Roman" w:hAnsi="Times New Roman" w:eastAsia="宋体" w:cs="Times New Roman"/>
                <w:b/>
                <w:bCs/>
                <w:sz w:val="24"/>
              </w:rPr>
            </w:pPr>
          </w:p>
        </w:tc>
      </w:tr>
    </w:tbl>
    <w:p>
      <w:pPr>
        <w:rPr>
          <w:rFonts w:ascii="Times New Roman" w:hAnsi="Times New Roman" w:eastAsia="宋体" w:cs="Times New Roman"/>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outlineLvl w:val="0"/>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表七 验收监测结果和验收期间生产工况记录</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14" w:type="dxa"/>
            <w:vAlign w:val="center"/>
          </w:tcPr>
          <w:p>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一、监测期间生产工况</w:t>
            </w:r>
            <w:r>
              <w:rPr>
                <w:rFonts w:ascii="Times New Roman" w:hAnsi="Times New Roman" w:eastAsia="宋体" w:cs="Times New Roman"/>
                <w:b/>
                <w:bCs/>
                <w:sz w:val="24"/>
              </w:rPr>
              <w:t>：</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本项目主要为冷锻产品和模具加工，实际生产设施与环评中一致，全年工作日以</w:t>
            </w:r>
            <w:r>
              <w:rPr>
                <w:rFonts w:ascii="Times New Roman" w:hAnsi="Times New Roman" w:eastAsia="宋体" w:cs="Times New Roman"/>
                <w:sz w:val="24"/>
              </w:rPr>
              <w:t>300</w:t>
            </w:r>
            <w:r>
              <w:rPr>
                <w:rFonts w:hint="eastAsia" w:ascii="Times New Roman" w:hAnsi="Times New Roman" w:eastAsia="宋体" w:cs="Times New Roman"/>
                <w:sz w:val="24"/>
              </w:rPr>
              <w:t>天计。项目设计产能为年产</w:t>
            </w:r>
            <w:r>
              <w:rPr>
                <w:rFonts w:ascii="Times New Roman" w:hAnsi="Times New Roman" w:eastAsia="宋体" w:cs="Times New Roman"/>
                <w:sz w:val="24"/>
              </w:rPr>
              <w:t>3000吨/年模具材料（包括700万件活塞、150件注塞帽、70万件万件转子）</w:t>
            </w:r>
            <w:r>
              <w:rPr>
                <w:rFonts w:hint="eastAsia" w:ascii="Times New Roman" w:hAnsi="Times New Roman" w:eastAsia="宋体" w:cs="Times New Roman"/>
                <w:sz w:val="24"/>
              </w:rPr>
              <w:t>，项目于2</w:t>
            </w:r>
            <w:r>
              <w:rPr>
                <w:rFonts w:ascii="Times New Roman" w:hAnsi="Times New Roman" w:eastAsia="宋体" w:cs="Times New Roman"/>
                <w:sz w:val="24"/>
              </w:rPr>
              <w:t>022</w:t>
            </w:r>
            <w:r>
              <w:rPr>
                <w:rFonts w:hint="eastAsia" w:ascii="Times New Roman" w:hAnsi="Times New Roman" w:eastAsia="宋体" w:cs="Times New Roman"/>
                <w:sz w:val="24"/>
              </w:rPr>
              <w:t>年</w:t>
            </w:r>
            <w:r>
              <w:rPr>
                <w:rFonts w:ascii="Times New Roman" w:hAnsi="Times New Roman" w:eastAsia="宋体" w:cs="Times New Roman"/>
                <w:sz w:val="24"/>
              </w:rPr>
              <w:t>8</w:t>
            </w:r>
            <w:r>
              <w:rPr>
                <w:rFonts w:hint="eastAsia" w:ascii="Times New Roman" w:hAnsi="Times New Roman" w:eastAsia="宋体" w:cs="Times New Roman"/>
                <w:sz w:val="24"/>
              </w:rPr>
              <w:t>月</w:t>
            </w:r>
            <w:r>
              <w:rPr>
                <w:rFonts w:ascii="Times New Roman" w:hAnsi="Times New Roman" w:eastAsia="宋体" w:cs="Times New Roman"/>
                <w:sz w:val="24"/>
              </w:rPr>
              <w:t>31</w:t>
            </w:r>
            <w:r>
              <w:rPr>
                <w:rFonts w:hint="eastAsia" w:ascii="Times New Roman" w:hAnsi="Times New Roman" w:eastAsia="宋体" w:cs="Times New Roman"/>
                <w:sz w:val="24"/>
              </w:rPr>
              <w:t>日-</w:t>
            </w:r>
            <w:r>
              <w:rPr>
                <w:rFonts w:ascii="Times New Roman" w:hAnsi="Times New Roman" w:eastAsia="宋体" w:cs="Times New Roman"/>
                <w:sz w:val="24"/>
              </w:rPr>
              <w:t>2022</w:t>
            </w:r>
            <w:r>
              <w:rPr>
                <w:rFonts w:hint="eastAsia" w:ascii="Times New Roman" w:hAnsi="Times New Roman" w:eastAsia="宋体" w:cs="Times New Roman"/>
                <w:sz w:val="24"/>
              </w:rPr>
              <w:t>年</w:t>
            </w:r>
            <w:r>
              <w:rPr>
                <w:rFonts w:ascii="Times New Roman" w:hAnsi="Times New Roman" w:eastAsia="宋体" w:cs="Times New Roman"/>
                <w:sz w:val="24"/>
              </w:rPr>
              <w:t>9</w:t>
            </w:r>
            <w:r>
              <w:rPr>
                <w:rFonts w:hint="eastAsia" w:ascii="Times New Roman" w:hAnsi="Times New Roman" w:eastAsia="宋体" w:cs="Times New Roman"/>
                <w:sz w:val="24"/>
              </w:rPr>
              <w:t>月1日开展验收监测工作，验收监测期间公司处于正常作业满负荷状态，生产工况稳定。</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项目验收监测期间生产负荷统计结果详见表7</w:t>
            </w:r>
            <w:r>
              <w:rPr>
                <w:rFonts w:ascii="Times New Roman" w:hAnsi="Times New Roman" w:eastAsia="宋体" w:cs="Times New Roman"/>
                <w:sz w:val="24"/>
              </w:rPr>
              <w:t>-1</w:t>
            </w:r>
            <w:r>
              <w:rPr>
                <w:rFonts w:hint="eastAsia" w:ascii="Times New Roman" w:hAnsi="Times New Roman" w:eastAsia="宋体" w:cs="Times New Roman"/>
                <w:sz w:val="24"/>
              </w:rPr>
              <w:t>，验收监测期间气象参数见表7</w:t>
            </w:r>
            <w:r>
              <w:rPr>
                <w:rFonts w:ascii="Times New Roman" w:hAnsi="Times New Roman" w:eastAsia="宋体" w:cs="Times New Roman"/>
                <w:sz w:val="24"/>
              </w:rPr>
              <w:t>-2</w:t>
            </w:r>
            <w:r>
              <w:rPr>
                <w:rFonts w:hint="eastAsia" w:ascii="Times New Roman" w:hAnsi="Times New Roman" w:eastAsia="宋体" w:cs="Times New Roman"/>
                <w:sz w:val="24"/>
              </w:rPr>
              <w:t>。</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 xml:space="preserve">7-1  </w:t>
            </w:r>
            <w:r>
              <w:rPr>
                <w:rFonts w:hint="eastAsia" w:ascii="Times New Roman" w:hAnsi="Times New Roman" w:eastAsia="宋体" w:cs="Times New Roman"/>
                <w:b/>
                <w:bCs/>
                <w:sz w:val="24"/>
              </w:rPr>
              <w:t>项目监测期间生产工况调查表</w:t>
            </w:r>
          </w:p>
          <w:tbl>
            <w:tblPr>
              <w:tblStyle w:val="1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863"/>
              <w:gridCol w:w="1134"/>
              <w:gridCol w:w="1559"/>
              <w:gridCol w:w="1302"/>
              <w:gridCol w:w="1465"/>
              <w:gridCol w:w="146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63" w:type="dxa"/>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监测日期</w:t>
                  </w:r>
                </w:p>
              </w:tc>
              <w:tc>
                <w:tcPr>
                  <w:tcW w:w="1134" w:type="dxa"/>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产品</w:t>
                  </w:r>
                </w:p>
              </w:tc>
              <w:tc>
                <w:tcPr>
                  <w:tcW w:w="1559" w:type="dxa"/>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设计生产能力（t</w:t>
                  </w:r>
                  <w:r>
                    <w:rPr>
                      <w:rFonts w:ascii="Times New Roman" w:hAnsi="Times New Roman" w:eastAsia="宋体" w:cs="Times New Roman"/>
                      <w:b/>
                      <w:bCs/>
                      <w:kern w:val="0"/>
                      <w:szCs w:val="21"/>
                    </w:rPr>
                    <w:t>/a</w:t>
                  </w:r>
                  <w:r>
                    <w:rPr>
                      <w:rFonts w:hint="eastAsia" w:ascii="Times New Roman" w:hAnsi="Times New Roman" w:eastAsia="宋体" w:cs="Times New Roman"/>
                      <w:b/>
                      <w:bCs/>
                      <w:kern w:val="0"/>
                      <w:szCs w:val="21"/>
                    </w:rPr>
                    <w:t>）</w:t>
                  </w:r>
                </w:p>
              </w:tc>
              <w:tc>
                <w:tcPr>
                  <w:tcW w:w="1302" w:type="dxa"/>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设计日产量（t/d）</w:t>
                  </w:r>
                </w:p>
              </w:tc>
              <w:tc>
                <w:tcPr>
                  <w:tcW w:w="1465" w:type="dxa"/>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实际日产量（</w:t>
                  </w:r>
                  <w:r>
                    <w:rPr>
                      <w:rFonts w:ascii="Times New Roman" w:hAnsi="Times New Roman" w:eastAsia="宋体" w:cs="Times New Roman"/>
                      <w:b/>
                      <w:bCs/>
                      <w:kern w:val="0"/>
                      <w:szCs w:val="21"/>
                    </w:rPr>
                    <w:t>t</w:t>
                  </w:r>
                  <w:r>
                    <w:rPr>
                      <w:rFonts w:hint="eastAsia" w:ascii="Times New Roman" w:hAnsi="Times New Roman" w:eastAsia="宋体" w:cs="Times New Roman"/>
                      <w:b/>
                      <w:bCs/>
                      <w:kern w:val="0"/>
                      <w:szCs w:val="21"/>
                    </w:rPr>
                    <w:t>/d）</w:t>
                  </w:r>
                </w:p>
              </w:tc>
              <w:tc>
                <w:tcPr>
                  <w:tcW w:w="1465" w:type="dxa"/>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生产负荷%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9" w:hRule="atLeast"/>
                <w:jc w:val="center"/>
              </w:trPr>
              <w:tc>
                <w:tcPr>
                  <w:tcW w:w="186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r>
                    <w:rPr>
                      <w:rFonts w:hint="eastAsia" w:ascii="Times New Roman" w:hAnsi="Times New Roman" w:eastAsia="宋体" w:cs="Times New Roman"/>
                      <w:kern w:val="0"/>
                      <w:szCs w:val="21"/>
                    </w:rPr>
                    <w:t>年</w:t>
                  </w:r>
                  <w:r>
                    <w:rPr>
                      <w:rFonts w:ascii="Times New Roman" w:hAnsi="Times New Roman" w:eastAsia="宋体" w:cs="Times New Roman"/>
                      <w:kern w:val="0"/>
                      <w:szCs w:val="21"/>
                    </w:rPr>
                    <w:t>8</w:t>
                  </w:r>
                  <w:r>
                    <w:rPr>
                      <w:rFonts w:hint="eastAsia" w:ascii="Times New Roman" w:hAnsi="Times New Roman" w:eastAsia="宋体" w:cs="Times New Roman"/>
                      <w:kern w:val="0"/>
                      <w:szCs w:val="21"/>
                    </w:rPr>
                    <w:t>月3</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日</w:t>
                  </w:r>
                </w:p>
              </w:tc>
              <w:tc>
                <w:tcPr>
                  <w:tcW w:w="1134"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冷锻产品和模具加工</w:t>
                  </w:r>
                </w:p>
              </w:tc>
              <w:tc>
                <w:tcPr>
                  <w:tcW w:w="1559"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3000</w:t>
                  </w:r>
                  <w:r>
                    <w:rPr>
                      <w:rFonts w:hint="eastAsia" w:ascii="Times New Roman" w:hAnsi="Times New Roman" w:eastAsia="宋体" w:cs="Times New Roman"/>
                      <w:kern w:val="0"/>
                      <w:szCs w:val="21"/>
                    </w:rPr>
                    <w:t>万</w:t>
                  </w:r>
                </w:p>
              </w:tc>
              <w:tc>
                <w:tcPr>
                  <w:tcW w:w="130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10</w:t>
                  </w:r>
                  <w:r>
                    <w:rPr>
                      <w:rFonts w:hint="eastAsia" w:ascii="Times New Roman" w:hAnsi="Times New Roman" w:eastAsia="宋体" w:cs="Times New Roman"/>
                      <w:kern w:val="0"/>
                      <w:szCs w:val="21"/>
                    </w:rPr>
                    <w:t>万</w:t>
                  </w:r>
                </w:p>
              </w:tc>
              <w:tc>
                <w:tcPr>
                  <w:tcW w:w="146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10</w:t>
                  </w:r>
                  <w:r>
                    <w:rPr>
                      <w:rFonts w:hint="eastAsia" w:ascii="Times New Roman" w:hAnsi="Times New Roman" w:eastAsia="宋体" w:cs="Times New Roman"/>
                      <w:kern w:val="0"/>
                      <w:szCs w:val="21"/>
                    </w:rPr>
                    <w:t>万</w:t>
                  </w:r>
                </w:p>
              </w:tc>
              <w:tc>
                <w:tcPr>
                  <w:tcW w:w="146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highlight w:val="yellow"/>
                    </w:rPr>
                    <w:t>90</w:t>
                  </w:r>
                  <w:r>
                    <w:rPr>
                      <w:rFonts w:hint="eastAsia" w:ascii="Times New Roman" w:hAnsi="Times New Roman" w:eastAsia="宋体" w:cs="Times New Roman"/>
                      <w:kern w:val="0"/>
                      <w:szCs w:val="21"/>
                      <w:highlight w:val="yellow"/>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863"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2022</w:t>
                  </w:r>
                  <w:r>
                    <w:rPr>
                      <w:rFonts w:hint="eastAsia" w:ascii="Times New Roman" w:hAnsi="Times New Roman" w:eastAsia="宋体" w:cs="Times New Roman"/>
                      <w:kern w:val="0"/>
                      <w:szCs w:val="21"/>
                    </w:rPr>
                    <w:t>年</w:t>
                  </w:r>
                  <w:r>
                    <w:rPr>
                      <w:rFonts w:ascii="Times New Roman" w:hAnsi="Times New Roman" w:eastAsia="宋体" w:cs="Times New Roman"/>
                      <w:kern w:val="0"/>
                      <w:szCs w:val="21"/>
                    </w:rPr>
                    <w:t>9</w:t>
                  </w:r>
                  <w:r>
                    <w:rPr>
                      <w:rFonts w:hint="eastAsia" w:ascii="Times New Roman" w:hAnsi="Times New Roman" w:eastAsia="宋体" w:cs="Times New Roman"/>
                      <w:kern w:val="0"/>
                      <w:szCs w:val="21"/>
                    </w:rPr>
                    <w:t>月</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日</w:t>
                  </w:r>
                </w:p>
              </w:tc>
              <w:tc>
                <w:tcPr>
                  <w:tcW w:w="1134"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559"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3000</w:t>
                  </w:r>
                  <w:r>
                    <w:rPr>
                      <w:rFonts w:hint="eastAsia" w:ascii="Times New Roman" w:hAnsi="Times New Roman" w:eastAsia="宋体" w:cs="Times New Roman"/>
                      <w:kern w:val="0"/>
                      <w:szCs w:val="21"/>
                    </w:rPr>
                    <w:t>万</w:t>
                  </w:r>
                </w:p>
              </w:tc>
              <w:tc>
                <w:tcPr>
                  <w:tcW w:w="1302"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10</w:t>
                  </w:r>
                  <w:r>
                    <w:rPr>
                      <w:rFonts w:hint="eastAsia" w:ascii="Times New Roman" w:hAnsi="Times New Roman" w:eastAsia="宋体" w:cs="Times New Roman"/>
                      <w:kern w:val="0"/>
                      <w:szCs w:val="21"/>
                    </w:rPr>
                    <w:t>万</w:t>
                  </w:r>
                </w:p>
              </w:tc>
              <w:tc>
                <w:tcPr>
                  <w:tcW w:w="1465" w:type="dxa"/>
                  <w:shd w:val="clear" w:color="auto" w:fill="FFFFFF" w:themeFill="background1"/>
                  <w:vAlign w:val="center"/>
                </w:tcPr>
                <w:p>
                  <w:pPr>
                    <w:spacing w:before="156" w:beforeLines="50"/>
                    <w:jc w:val="center"/>
                    <w:rPr>
                      <w:rFonts w:ascii="Times New Roman" w:hAnsi="Times New Roman" w:eastAsia="宋体" w:cs="Times New Roman"/>
                      <w:kern w:val="0"/>
                      <w:szCs w:val="21"/>
                    </w:rPr>
                  </w:pPr>
                  <w:r>
                    <w:rPr>
                      <w:rFonts w:ascii="Times New Roman" w:hAnsi="Times New Roman" w:eastAsia="宋体" w:cs="Times New Roman"/>
                      <w:kern w:val="0"/>
                      <w:szCs w:val="21"/>
                    </w:rPr>
                    <w:t>10</w:t>
                  </w:r>
                  <w:r>
                    <w:rPr>
                      <w:rFonts w:hint="eastAsia" w:ascii="Times New Roman" w:hAnsi="Times New Roman" w:eastAsia="宋体" w:cs="Times New Roman"/>
                      <w:kern w:val="0"/>
                      <w:szCs w:val="21"/>
                    </w:rPr>
                    <w:t>万</w:t>
                  </w:r>
                </w:p>
              </w:tc>
              <w:tc>
                <w:tcPr>
                  <w:tcW w:w="146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highlight w:val="yellow"/>
                    </w:rPr>
                    <w:t>90</w:t>
                  </w:r>
                  <w:r>
                    <w:rPr>
                      <w:rFonts w:hint="eastAsia" w:ascii="Times New Roman" w:hAnsi="Times New Roman" w:eastAsia="宋体" w:cs="Times New Roman"/>
                      <w:kern w:val="0"/>
                      <w:szCs w:val="21"/>
                      <w:highlight w:val="yellow"/>
                    </w:rPr>
                    <w:t>%</w:t>
                  </w:r>
                </w:p>
              </w:tc>
            </w:tr>
          </w:tbl>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 xml:space="preserve">7-2  </w:t>
            </w:r>
            <w:r>
              <w:rPr>
                <w:rFonts w:hint="eastAsia" w:ascii="Times New Roman" w:hAnsi="Times New Roman" w:eastAsia="宋体" w:cs="Times New Roman"/>
                <w:b/>
                <w:bCs/>
                <w:sz w:val="24"/>
              </w:rPr>
              <w:t>项目监测期间气象参数一览表</w:t>
            </w:r>
          </w:p>
          <w:tbl>
            <w:tblPr>
              <w:tblStyle w:val="1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55"/>
              <w:gridCol w:w="1255"/>
              <w:gridCol w:w="1255"/>
              <w:gridCol w:w="1255"/>
              <w:gridCol w:w="1256"/>
              <w:gridCol w:w="1256"/>
              <w:gridCol w:w="12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55" w:type="dxa"/>
                  <w:vMerge w:val="restar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日期</w:t>
                  </w:r>
                </w:p>
              </w:tc>
              <w:tc>
                <w:tcPr>
                  <w:tcW w:w="1255" w:type="dxa"/>
                  <w:vMerge w:val="restart"/>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时间</w:t>
                  </w:r>
                </w:p>
              </w:tc>
              <w:tc>
                <w:tcPr>
                  <w:tcW w:w="6278" w:type="dxa"/>
                  <w:gridSpan w:val="5"/>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项目</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55" w:type="dxa"/>
                  <w:vMerge w:val="continue"/>
                  <w:shd w:val="clear" w:color="auto" w:fill="FFFFFF" w:themeFill="background1"/>
                  <w:vAlign w:val="center"/>
                </w:tcPr>
                <w:p>
                  <w:pPr>
                    <w:jc w:val="center"/>
                    <w:rPr>
                      <w:rFonts w:ascii="Times New Roman" w:hAnsi="Times New Roman" w:eastAsia="宋体" w:cs="Times New Roman"/>
                      <w:b/>
                      <w:bCs/>
                      <w:kern w:val="0"/>
                      <w:szCs w:val="21"/>
                    </w:rPr>
                  </w:pPr>
                </w:p>
              </w:tc>
              <w:tc>
                <w:tcPr>
                  <w:tcW w:w="1255" w:type="dxa"/>
                  <w:vMerge w:val="continue"/>
                  <w:shd w:val="clear" w:color="auto" w:fill="FFFFFF" w:themeFill="background1"/>
                  <w:vAlign w:val="center"/>
                </w:tcPr>
                <w:p>
                  <w:pPr>
                    <w:jc w:val="center"/>
                    <w:rPr>
                      <w:rFonts w:ascii="Times New Roman" w:hAnsi="Times New Roman" w:eastAsia="宋体" w:cs="Times New Roman"/>
                      <w:b/>
                      <w:bCs/>
                      <w:kern w:val="0"/>
                      <w:szCs w:val="21"/>
                    </w:rPr>
                  </w:pPr>
                </w:p>
              </w:tc>
              <w:tc>
                <w:tcPr>
                  <w:tcW w:w="1255"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气温℃</w:t>
                  </w:r>
                </w:p>
              </w:tc>
              <w:tc>
                <w:tcPr>
                  <w:tcW w:w="1255"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气压kPa</w:t>
                  </w:r>
                </w:p>
              </w:tc>
              <w:tc>
                <w:tcPr>
                  <w:tcW w:w="1256"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风速m/s</w:t>
                  </w:r>
                </w:p>
              </w:tc>
              <w:tc>
                <w:tcPr>
                  <w:tcW w:w="1256"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风向</w:t>
                  </w:r>
                </w:p>
              </w:tc>
              <w:tc>
                <w:tcPr>
                  <w:tcW w:w="1256"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天气状况</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55"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08月31日</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8:43</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29.1</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100.1</w:t>
                  </w:r>
                </w:p>
              </w:tc>
              <w:tc>
                <w:tcPr>
                  <w:tcW w:w="1256"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2.1</w:t>
                  </w:r>
                </w:p>
              </w:tc>
              <w:tc>
                <w:tcPr>
                  <w:tcW w:w="125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东南</w:t>
                  </w:r>
                </w:p>
              </w:tc>
              <w:tc>
                <w:tcPr>
                  <w:tcW w:w="125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55"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10:10</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29.7</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100.1</w:t>
                  </w:r>
                </w:p>
              </w:tc>
              <w:tc>
                <w:tcPr>
                  <w:tcW w:w="1256"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2.2</w:t>
                  </w:r>
                </w:p>
              </w:tc>
              <w:tc>
                <w:tcPr>
                  <w:tcW w:w="125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东南</w:t>
                  </w:r>
                </w:p>
              </w:tc>
              <w:tc>
                <w:tcPr>
                  <w:tcW w:w="125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55"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11:07</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30.5</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100.1</w:t>
                  </w:r>
                </w:p>
              </w:tc>
              <w:tc>
                <w:tcPr>
                  <w:tcW w:w="1256"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2.1</w:t>
                  </w:r>
                </w:p>
              </w:tc>
              <w:tc>
                <w:tcPr>
                  <w:tcW w:w="125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东南</w:t>
                  </w:r>
                </w:p>
              </w:tc>
              <w:tc>
                <w:tcPr>
                  <w:tcW w:w="125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55"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09月1日</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8:51</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28.7</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100.7</w:t>
                  </w:r>
                </w:p>
              </w:tc>
              <w:tc>
                <w:tcPr>
                  <w:tcW w:w="1256"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2.1</w:t>
                  </w:r>
                </w:p>
              </w:tc>
              <w:tc>
                <w:tcPr>
                  <w:tcW w:w="125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东南</w:t>
                  </w:r>
                </w:p>
              </w:tc>
              <w:tc>
                <w:tcPr>
                  <w:tcW w:w="125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55" w:type="dxa"/>
                  <w:vMerge w:val="continue"/>
                  <w:shd w:val="clear" w:color="auto" w:fill="FFFFFF" w:themeFill="background1"/>
                  <w:vAlign w:val="center"/>
                </w:tcPr>
                <w:p>
                  <w:pPr>
                    <w:jc w:val="center"/>
                    <w:rPr>
                      <w:rFonts w:ascii="Times New Roman" w:hAnsi="Times New Roman" w:eastAsia="宋体" w:cs="Times New Roman"/>
                      <w:kern w:val="0"/>
                      <w:szCs w:val="21"/>
                      <w:highlight w:val="yellow"/>
                    </w:rPr>
                  </w:pP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9:58</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29.1</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100.7</w:t>
                  </w:r>
                </w:p>
              </w:tc>
              <w:tc>
                <w:tcPr>
                  <w:tcW w:w="1256"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2.0</w:t>
                  </w:r>
                </w:p>
              </w:tc>
              <w:tc>
                <w:tcPr>
                  <w:tcW w:w="125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东南</w:t>
                  </w:r>
                </w:p>
              </w:tc>
              <w:tc>
                <w:tcPr>
                  <w:tcW w:w="125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晴</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55" w:type="dxa"/>
                  <w:vMerge w:val="continue"/>
                  <w:shd w:val="clear" w:color="auto" w:fill="FFFFFF" w:themeFill="background1"/>
                  <w:vAlign w:val="center"/>
                </w:tcPr>
                <w:p>
                  <w:pPr>
                    <w:jc w:val="center"/>
                    <w:rPr>
                      <w:rFonts w:ascii="Times New Roman" w:hAnsi="Times New Roman" w:eastAsia="宋体" w:cs="Times New Roman"/>
                      <w:kern w:val="0"/>
                      <w:szCs w:val="21"/>
                      <w:highlight w:val="yellow"/>
                    </w:rPr>
                  </w:pP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11:03</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29.5</w:t>
                  </w:r>
                </w:p>
              </w:tc>
              <w:tc>
                <w:tcPr>
                  <w:tcW w:w="1255"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100.7</w:t>
                  </w:r>
                </w:p>
              </w:tc>
              <w:tc>
                <w:tcPr>
                  <w:tcW w:w="1256"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ascii="Times New Roman" w:hAnsi="Times New Roman" w:eastAsia="宋体" w:cs="Times New Roman"/>
                      <w:kern w:val="0"/>
                      <w:szCs w:val="21"/>
                    </w:rPr>
                    <w:t>2.3</w:t>
                  </w:r>
                </w:p>
              </w:tc>
              <w:tc>
                <w:tcPr>
                  <w:tcW w:w="125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东南</w:t>
                  </w:r>
                </w:p>
              </w:tc>
              <w:tc>
                <w:tcPr>
                  <w:tcW w:w="1256"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晴</w:t>
                  </w:r>
                </w:p>
              </w:tc>
            </w:tr>
          </w:tbl>
          <w:p>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二、建设项目废水监测结果</w:t>
            </w:r>
            <w:r>
              <w:rPr>
                <w:rFonts w:ascii="Times New Roman" w:hAnsi="Times New Roman" w:eastAsia="宋体" w:cs="Times New Roman"/>
                <w:b/>
                <w:bCs/>
                <w:sz w:val="24"/>
              </w:rPr>
              <w:t>：</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sym w:font="Wingdings" w:char="F076"/>
            </w:r>
            <w:r>
              <w:rPr>
                <w:rFonts w:hint="eastAsia" w:ascii="Times New Roman" w:hAnsi="Times New Roman" w:eastAsia="宋体" w:cs="Times New Roman"/>
                <w:sz w:val="24"/>
              </w:rPr>
              <w:t xml:space="preserve"> 监测日期为：2</w:t>
            </w:r>
            <w:r>
              <w:rPr>
                <w:rFonts w:ascii="Times New Roman" w:hAnsi="Times New Roman" w:eastAsia="宋体" w:cs="Times New Roman"/>
                <w:sz w:val="24"/>
              </w:rPr>
              <w:t>022</w:t>
            </w:r>
            <w:r>
              <w:rPr>
                <w:rFonts w:hint="eastAsia" w:ascii="Times New Roman" w:hAnsi="Times New Roman" w:eastAsia="宋体" w:cs="Times New Roman"/>
                <w:sz w:val="24"/>
              </w:rPr>
              <w:t>年</w:t>
            </w:r>
            <w:r>
              <w:rPr>
                <w:rFonts w:ascii="Times New Roman" w:hAnsi="Times New Roman" w:eastAsia="宋体" w:cs="Times New Roman"/>
                <w:sz w:val="24"/>
              </w:rPr>
              <w:t>8</w:t>
            </w:r>
            <w:r>
              <w:rPr>
                <w:rFonts w:hint="eastAsia" w:ascii="Times New Roman" w:hAnsi="Times New Roman" w:eastAsia="宋体" w:cs="Times New Roman"/>
                <w:sz w:val="24"/>
              </w:rPr>
              <w:t>月</w:t>
            </w:r>
            <w:r>
              <w:rPr>
                <w:rFonts w:ascii="Times New Roman" w:hAnsi="Times New Roman" w:eastAsia="宋体" w:cs="Times New Roman"/>
                <w:sz w:val="24"/>
              </w:rPr>
              <w:t>31</w:t>
            </w:r>
            <w:r>
              <w:rPr>
                <w:rFonts w:hint="eastAsia" w:ascii="Times New Roman" w:hAnsi="Times New Roman" w:eastAsia="宋体" w:cs="Times New Roman"/>
                <w:sz w:val="24"/>
              </w:rPr>
              <w:t>日-</w:t>
            </w:r>
            <w:r>
              <w:rPr>
                <w:rFonts w:ascii="Times New Roman" w:hAnsi="Times New Roman" w:eastAsia="宋体" w:cs="Times New Roman"/>
                <w:sz w:val="24"/>
              </w:rPr>
              <w:t>2022</w:t>
            </w:r>
            <w:r>
              <w:rPr>
                <w:rFonts w:hint="eastAsia" w:ascii="Times New Roman" w:hAnsi="Times New Roman" w:eastAsia="宋体" w:cs="Times New Roman"/>
                <w:sz w:val="24"/>
              </w:rPr>
              <w:t>年</w:t>
            </w:r>
            <w:r>
              <w:rPr>
                <w:rFonts w:ascii="Times New Roman" w:hAnsi="Times New Roman" w:eastAsia="宋体" w:cs="Times New Roman"/>
                <w:sz w:val="24"/>
              </w:rPr>
              <w:t>9</w:t>
            </w:r>
            <w:r>
              <w:rPr>
                <w:rFonts w:hint="eastAsia" w:ascii="Times New Roman" w:hAnsi="Times New Roman" w:eastAsia="宋体" w:cs="Times New Roman"/>
                <w:sz w:val="24"/>
              </w:rPr>
              <w:t>月</w:t>
            </w:r>
            <w:r>
              <w:rPr>
                <w:rFonts w:ascii="Times New Roman" w:hAnsi="Times New Roman" w:eastAsia="宋体" w:cs="Times New Roman"/>
                <w:sz w:val="24"/>
              </w:rPr>
              <w:t>1</w:t>
            </w:r>
            <w:r>
              <w:rPr>
                <w:rFonts w:hint="eastAsia" w:ascii="Times New Roman" w:hAnsi="Times New Roman" w:eastAsia="宋体" w:cs="Times New Roman"/>
                <w:sz w:val="24"/>
              </w:rPr>
              <w:t>日。</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sym w:font="Wingdings" w:char="F076"/>
            </w:r>
            <w:r>
              <w:rPr>
                <w:rFonts w:ascii="Times New Roman" w:hAnsi="Times New Roman" w:eastAsia="宋体" w:cs="Times New Roman"/>
                <w:sz w:val="24"/>
              </w:rPr>
              <w:t xml:space="preserve"> </w:t>
            </w:r>
            <w:r>
              <w:rPr>
                <w:rFonts w:hint="eastAsia" w:ascii="Times New Roman" w:hAnsi="Times New Roman" w:eastAsia="宋体" w:cs="Times New Roman"/>
                <w:sz w:val="24"/>
              </w:rPr>
              <w:t>考核标准：废水接管满足《污水综合排放标准》（</w:t>
            </w:r>
            <w:r>
              <w:rPr>
                <w:rFonts w:ascii="Times New Roman" w:hAnsi="Times New Roman" w:eastAsia="宋体" w:cs="Times New Roman"/>
                <w:sz w:val="24"/>
              </w:rPr>
              <w:t>GB8978-1996）中三级标准和《污水排入城镇下水道水质标准》（GB/T31962-2015）中B级标准及污水厂接管标准</w:t>
            </w:r>
            <w:r>
              <w:rPr>
                <w:rFonts w:hint="eastAsia" w:ascii="Times New Roman" w:hAnsi="Times New Roman" w:eastAsia="宋体" w:cs="Times New Roman"/>
                <w:sz w:val="24"/>
              </w:rPr>
              <w:t>。</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废水监测结果见表7-</w:t>
            </w:r>
            <w:r>
              <w:rPr>
                <w:rFonts w:ascii="Times New Roman" w:hAnsi="Times New Roman" w:eastAsia="宋体" w:cs="Times New Roman"/>
                <w:sz w:val="24"/>
              </w:rPr>
              <w:t>3</w:t>
            </w:r>
            <w:r>
              <w:rPr>
                <w:rFonts w:hint="eastAsia" w:ascii="Times New Roman" w:hAnsi="Times New Roman" w:eastAsia="宋体" w:cs="Times New Roman"/>
                <w:sz w:val="24"/>
              </w:rPr>
              <w:t>。</w:t>
            </w:r>
          </w:p>
          <w:p>
            <w:pPr>
              <w:spacing w:line="360" w:lineRule="auto"/>
              <w:jc w:val="center"/>
              <w:rPr>
                <w:rFonts w:ascii="Times New Roman" w:hAnsi="Times New Roman" w:eastAsia="宋体" w:cs="Times New Roman"/>
                <w:b/>
                <w:bCs/>
                <w:sz w:val="24"/>
              </w:rPr>
            </w:pPr>
          </w:p>
          <w:p>
            <w:pPr>
              <w:spacing w:line="360" w:lineRule="auto"/>
              <w:jc w:val="center"/>
              <w:rPr>
                <w:rFonts w:ascii="Times New Roman" w:hAnsi="Times New Roman" w:eastAsia="宋体" w:cs="Times New Roman"/>
                <w:b/>
                <w:bCs/>
                <w:sz w:val="24"/>
              </w:rPr>
            </w:pPr>
          </w:p>
          <w:p>
            <w:pPr>
              <w:spacing w:line="360" w:lineRule="auto"/>
              <w:jc w:val="center"/>
              <w:rPr>
                <w:rFonts w:ascii="Times New Roman" w:hAnsi="Times New Roman" w:eastAsia="宋体" w:cs="Times New Roman"/>
                <w:b/>
                <w:bCs/>
                <w:sz w:val="24"/>
              </w:rPr>
            </w:pPr>
          </w:p>
          <w:p>
            <w:pPr>
              <w:spacing w:line="360" w:lineRule="auto"/>
              <w:jc w:val="center"/>
              <w:rPr>
                <w:rFonts w:ascii="Times New Roman" w:hAnsi="Times New Roman" w:eastAsia="宋体" w:cs="Times New Roman"/>
                <w:b/>
                <w:bCs/>
                <w:sz w:val="24"/>
              </w:rPr>
            </w:pP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 xml:space="preserve">7-3 </w:t>
            </w:r>
            <w:r>
              <w:rPr>
                <w:rFonts w:hint="eastAsia" w:ascii="Times New Roman" w:hAnsi="Times New Roman" w:eastAsia="宋体" w:cs="Times New Roman"/>
                <w:b/>
                <w:bCs/>
                <w:sz w:val="24"/>
              </w:rPr>
              <w:t>废水监测结果一览表（单位：m</w:t>
            </w:r>
            <w:r>
              <w:rPr>
                <w:rFonts w:ascii="Times New Roman" w:hAnsi="Times New Roman" w:eastAsia="宋体" w:cs="Times New Roman"/>
                <w:b/>
                <w:bCs/>
                <w:sz w:val="24"/>
              </w:rPr>
              <w:t>g/L</w:t>
            </w:r>
            <w:r>
              <w:rPr>
                <w:rFonts w:hint="eastAsia" w:ascii="Times New Roman" w:hAnsi="Times New Roman" w:eastAsia="宋体" w:cs="Times New Roman"/>
                <w:b/>
                <w:bCs/>
                <w:sz w:val="24"/>
              </w:rPr>
              <w:t>，pH值：无量纲）</w:t>
            </w:r>
          </w:p>
          <w:tbl>
            <w:tblPr>
              <w:tblStyle w:val="17"/>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84"/>
              <w:gridCol w:w="528"/>
              <w:gridCol w:w="529"/>
              <w:gridCol w:w="695"/>
              <w:gridCol w:w="855"/>
              <w:gridCol w:w="698"/>
              <w:gridCol w:w="674"/>
              <w:gridCol w:w="738"/>
              <w:gridCol w:w="704"/>
              <w:gridCol w:w="774"/>
              <w:gridCol w:w="926"/>
              <w:gridCol w:w="98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采样</w:t>
                  </w:r>
                </w:p>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点位</w:t>
                  </w:r>
                </w:p>
              </w:tc>
              <w:tc>
                <w:tcPr>
                  <w:tcW w:w="529" w:type="dxa"/>
                  <w:tcBorders>
                    <w:top w:val="single" w:color="000000" w:sz="4" w:space="0"/>
                    <w:left w:val="single" w:color="auto"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采样</w:t>
                  </w:r>
                </w:p>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日期</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采样</w:t>
                  </w:r>
                </w:p>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频次</w:t>
                  </w:r>
                </w:p>
              </w:tc>
              <w:tc>
                <w:tcPr>
                  <w:tcW w:w="695"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样品</w:t>
                  </w:r>
                </w:p>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性状</w:t>
                  </w:r>
                </w:p>
              </w:tc>
              <w:tc>
                <w:tcPr>
                  <w:tcW w:w="851" w:type="dxa"/>
                  <w:tcBorders>
                    <w:top w:val="single" w:color="000000"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pH值</w:t>
                  </w:r>
                </w:p>
              </w:tc>
              <w:tc>
                <w:tcPr>
                  <w:tcW w:w="698" w:type="dxa"/>
                  <w:tcBorders>
                    <w:top w:val="single" w:color="000000"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化学需氧量</w:t>
                  </w:r>
                </w:p>
              </w:tc>
              <w:tc>
                <w:tcPr>
                  <w:tcW w:w="674" w:type="dxa"/>
                  <w:tcBorders>
                    <w:top w:val="single" w:color="000000"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氨氮</w:t>
                  </w:r>
                </w:p>
              </w:tc>
              <w:tc>
                <w:tcPr>
                  <w:tcW w:w="738" w:type="dxa"/>
                  <w:tcBorders>
                    <w:top w:val="single" w:color="000000"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悬浮物</w:t>
                  </w:r>
                </w:p>
              </w:tc>
              <w:tc>
                <w:tcPr>
                  <w:tcW w:w="704" w:type="dxa"/>
                  <w:tcBorders>
                    <w:top w:val="single" w:color="000000" w:sz="4" w:space="0"/>
                    <w:left w:val="nil"/>
                    <w:bottom w:val="single" w:color="000000" w:sz="4" w:space="0"/>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石油类</w:t>
                  </w:r>
                </w:p>
              </w:tc>
              <w:tc>
                <w:tcPr>
                  <w:tcW w:w="774" w:type="dxa"/>
                  <w:tcBorders>
                    <w:top w:val="single" w:color="000000" w:sz="4" w:space="0"/>
                    <w:left w:val="nil"/>
                    <w:bottom w:val="single" w:color="000000" w:sz="4" w:space="0"/>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总磷</w:t>
                  </w:r>
                </w:p>
              </w:tc>
              <w:tc>
                <w:tcPr>
                  <w:tcW w:w="927" w:type="dxa"/>
                  <w:tcBorders>
                    <w:top w:val="single" w:color="000000" w:sz="4" w:space="0"/>
                    <w:left w:val="nil"/>
                    <w:bottom w:val="single" w:color="000000" w:sz="4" w:space="0"/>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阴离子表面活性剂</w:t>
                  </w:r>
                </w:p>
              </w:tc>
              <w:tc>
                <w:tcPr>
                  <w:tcW w:w="984" w:type="dxa"/>
                  <w:tcBorders>
                    <w:top w:val="single" w:color="000000" w:sz="4" w:space="0"/>
                    <w:left w:val="nil"/>
                    <w:bottom w:val="single" w:color="000000" w:sz="4" w:space="0"/>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锌</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restart"/>
                  <w:tcBorders>
                    <w:top w:val="nil"/>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废水进口FS1</w:t>
                  </w:r>
                </w:p>
              </w:tc>
              <w:tc>
                <w:tcPr>
                  <w:tcW w:w="529" w:type="dxa"/>
                  <w:vMerge w:val="restart"/>
                  <w:tcBorders>
                    <w:top w:val="nil"/>
                    <w:left w:val="single" w:color="auto"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8月</w:t>
                  </w:r>
                </w:p>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31日</w:t>
                  </w:r>
                </w:p>
              </w:tc>
              <w:tc>
                <w:tcPr>
                  <w:tcW w:w="52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第一次</w:t>
                  </w:r>
                </w:p>
              </w:tc>
              <w:tc>
                <w:tcPr>
                  <w:tcW w:w="695"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浅白微浑</w:t>
                  </w:r>
                </w:p>
              </w:tc>
              <w:tc>
                <w:tcPr>
                  <w:tcW w:w="851" w:type="dxa"/>
                  <w:tcBorders>
                    <w:top w:val="single" w:color="000000"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w:t>
                  </w:r>
                </w:p>
              </w:tc>
              <w:tc>
                <w:tcPr>
                  <w:tcW w:w="698"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363</w:t>
                  </w:r>
                </w:p>
              </w:tc>
              <w:tc>
                <w:tcPr>
                  <w:tcW w:w="6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17.8</w:t>
                  </w:r>
                </w:p>
              </w:tc>
              <w:tc>
                <w:tcPr>
                  <w:tcW w:w="7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281</w:t>
                  </w:r>
                </w:p>
              </w:tc>
              <w:tc>
                <w:tcPr>
                  <w:tcW w:w="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0.09</w:t>
                  </w:r>
                </w:p>
              </w:tc>
              <w:tc>
                <w:tcPr>
                  <w:tcW w:w="7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265</w:t>
                  </w:r>
                </w:p>
              </w:tc>
              <w:tc>
                <w:tcPr>
                  <w:tcW w:w="9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22.3</w:t>
                  </w:r>
                </w:p>
              </w:tc>
              <w:tc>
                <w:tcPr>
                  <w:tcW w:w="9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tcBorders>
                    <w:top w:val="nil"/>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p>
              </w:tc>
              <w:tc>
                <w:tcPr>
                  <w:tcW w:w="529" w:type="dxa"/>
                  <w:vMerge w:val="continue"/>
                  <w:tcBorders>
                    <w:top w:val="nil"/>
                    <w:left w:val="single" w:color="auto"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p>
              </w:tc>
              <w:tc>
                <w:tcPr>
                  <w:tcW w:w="529"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第二次</w:t>
                  </w:r>
                </w:p>
              </w:tc>
              <w:tc>
                <w:tcPr>
                  <w:tcW w:w="695" w:type="dxa"/>
                  <w:tcBorders>
                    <w:top w:val="single" w:color="000000" w:sz="4" w:space="0"/>
                    <w:left w:val="single" w:color="000000" w:sz="4" w:space="0"/>
                    <w:bottom w:val="single" w:color="auto"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浅白微浑</w:t>
                  </w:r>
                </w:p>
              </w:tc>
              <w:tc>
                <w:tcPr>
                  <w:tcW w:w="851" w:type="dxa"/>
                  <w:tcBorders>
                    <w:top w:val="single" w:color="000000" w:sz="4" w:space="0"/>
                    <w:left w:val="nil"/>
                    <w:bottom w:val="single" w:color="auto"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w:t>
                  </w:r>
                </w:p>
              </w:tc>
              <w:tc>
                <w:tcPr>
                  <w:tcW w:w="698" w:type="dxa"/>
                  <w:tcBorders>
                    <w:top w:val="single" w:color="000000" w:sz="4" w:space="0"/>
                    <w:left w:val="nil"/>
                    <w:bottom w:val="single" w:color="auto"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371</w:t>
                  </w:r>
                </w:p>
              </w:tc>
              <w:tc>
                <w:tcPr>
                  <w:tcW w:w="674"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17.6</w:t>
                  </w:r>
                </w:p>
              </w:tc>
              <w:tc>
                <w:tcPr>
                  <w:tcW w:w="738"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276</w:t>
                  </w:r>
                </w:p>
              </w:tc>
              <w:tc>
                <w:tcPr>
                  <w:tcW w:w="704"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0.10</w:t>
                  </w:r>
                </w:p>
              </w:tc>
              <w:tc>
                <w:tcPr>
                  <w:tcW w:w="774"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249</w:t>
                  </w:r>
                </w:p>
              </w:tc>
              <w:tc>
                <w:tcPr>
                  <w:tcW w:w="927"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23.0</w:t>
                  </w:r>
                </w:p>
              </w:tc>
              <w:tc>
                <w:tcPr>
                  <w:tcW w:w="984"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28.1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tcBorders>
                    <w:top w:val="nil"/>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p>
              </w:tc>
              <w:tc>
                <w:tcPr>
                  <w:tcW w:w="529" w:type="dxa"/>
                  <w:vMerge w:val="continue"/>
                  <w:tcBorders>
                    <w:top w:val="nil"/>
                    <w:left w:val="single" w:color="auto"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p>
              </w:tc>
              <w:tc>
                <w:tcPr>
                  <w:tcW w:w="529"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第三次</w:t>
                  </w:r>
                </w:p>
              </w:tc>
              <w:tc>
                <w:tcPr>
                  <w:tcW w:w="695" w:type="dxa"/>
                  <w:tcBorders>
                    <w:top w:val="single" w:color="000000" w:sz="4" w:space="0"/>
                    <w:left w:val="single" w:color="000000" w:sz="4" w:space="0"/>
                    <w:bottom w:val="single" w:color="auto"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浅白微浑</w:t>
                  </w:r>
                </w:p>
              </w:tc>
              <w:tc>
                <w:tcPr>
                  <w:tcW w:w="851" w:type="dxa"/>
                  <w:tcBorders>
                    <w:top w:val="single" w:color="000000" w:sz="4" w:space="0"/>
                    <w:left w:val="nil"/>
                    <w:bottom w:val="single" w:color="auto"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w:t>
                  </w:r>
                </w:p>
              </w:tc>
              <w:tc>
                <w:tcPr>
                  <w:tcW w:w="698" w:type="dxa"/>
                  <w:tcBorders>
                    <w:top w:val="single" w:color="000000" w:sz="4" w:space="0"/>
                    <w:left w:val="nil"/>
                    <w:bottom w:val="single" w:color="auto"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365</w:t>
                  </w:r>
                </w:p>
              </w:tc>
              <w:tc>
                <w:tcPr>
                  <w:tcW w:w="674"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17.9</w:t>
                  </w:r>
                </w:p>
              </w:tc>
              <w:tc>
                <w:tcPr>
                  <w:tcW w:w="738"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271</w:t>
                  </w:r>
                </w:p>
              </w:tc>
              <w:tc>
                <w:tcPr>
                  <w:tcW w:w="704"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0.11</w:t>
                  </w:r>
                </w:p>
              </w:tc>
              <w:tc>
                <w:tcPr>
                  <w:tcW w:w="774"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254</w:t>
                  </w:r>
                </w:p>
              </w:tc>
              <w:tc>
                <w:tcPr>
                  <w:tcW w:w="927"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22.7</w:t>
                  </w:r>
                </w:p>
              </w:tc>
              <w:tc>
                <w:tcPr>
                  <w:tcW w:w="984"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tcBorders>
                    <w:top w:val="nil"/>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p>
              </w:tc>
              <w:tc>
                <w:tcPr>
                  <w:tcW w:w="529" w:type="dxa"/>
                  <w:vMerge w:val="continue"/>
                  <w:tcBorders>
                    <w:top w:val="nil"/>
                    <w:left w:val="single" w:color="auto"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p>
              </w:tc>
              <w:tc>
                <w:tcPr>
                  <w:tcW w:w="529" w:type="dxa"/>
                  <w:tcBorders>
                    <w:top w:val="single" w:color="auto" w:sz="4" w:space="0"/>
                    <w:left w:val="single" w:color="auto" w:sz="4" w:space="0"/>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日均值</w:t>
                  </w:r>
                </w:p>
              </w:tc>
              <w:tc>
                <w:tcPr>
                  <w:tcW w:w="695" w:type="dxa"/>
                  <w:tcBorders>
                    <w:top w:val="single" w:color="auto"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c>
                <w:tcPr>
                  <w:tcW w:w="851" w:type="dxa"/>
                  <w:tcBorders>
                    <w:top w:val="single" w:color="000000"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2.5~2.7</w:t>
                  </w:r>
                </w:p>
              </w:tc>
              <w:tc>
                <w:tcPr>
                  <w:tcW w:w="698"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366</w:t>
                  </w:r>
                </w:p>
              </w:tc>
              <w:tc>
                <w:tcPr>
                  <w:tcW w:w="6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17.8</w:t>
                  </w:r>
                </w:p>
              </w:tc>
              <w:tc>
                <w:tcPr>
                  <w:tcW w:w="7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276</w:t>
                  </w:r>
                </w:p>
              </w:tc>
              <w:tc>
                <w:tcPr>
                  <w:tcW w:w="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0.10</w:t>
                  </w:r>
                </w:p>
              </w:tc>
              <w:tc>
                <w:tcPr>
                  <w:tcW w:w="7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256</w:t>
                  </w:r>
                </w:p>
              </w:tc>
              <w:tc>
                <w:tcPr>
                  <w:tcW w:w="9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22.7</w:t>
                  </w:r>
                </w:p>
              </w:tc>
              <w:tc>
                <w:tcPr>
                  <w:tcW w:w="9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tcBorders>
                    <w:top w:val="nil"/>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p>
              </w:tc>
              <w:tc>
                <w:tcPr>
                  <w:tcW w:w="529" w:type="dxa"/>
                  <w:vMerge w:val="restart"/>
                  <w:tcBorders>
                    <w:top w:val="nil"/>
                    <w:left w:val="single" w:color="auto"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9月</w:t>
                  </w:r>
                </w:p>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1日</w:t>
                  </w:r>
                </w:p>
                <w:p>
                  <w:pPr>
                    <w:jc w:val="center"/>
                    <w:rPr>
                      <w:rFonts w:ascii="Times New Roman" w:hAnsi="Times New Roman" w:eastAsia="宋体" w:cs="Times New Roman"/>
                      <w:color w:val="000000"/>
                      <w:kern w:val="0"/>
                      <w:szCs w:val="21"/>
                    </w:rPr>
                  </w:pPr>
                </w:p>
              </w:tc>
              <w:tc>
                <w:tcPr>
                  <w:tcW w:w="529" w:type="dxa"/>
                  <w:tcBorders>
                    <w:top w:val="single" w:color="auto" w:sz="4" w:space="0"/>
                    <w:left w:val="single" w:color="auto" w:sz="4" w:space="0"/>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第一次</w:t>
                  </w:r>
                </w:p>
              </w:tc>
              <w:tc>
                <w:tcPr>
                  <w:tcW w:w="695" w:type="dxa"/>
                  <w:tcBorders>
                    <w:top w:val="single" w:color="auto"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浅白微浑</w:t>
                  </w:r>
                </w:p>
              </w:tc>
              <w:tc>
                <w:tcPr>
                  <w:tcW w:w="851" w:type="dxa"/>
                  <w:tcBorders>
                    <w:top w:val="single" w:color="000000"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w:t>
                  </w:r>
                </w:p>
              </w:tc>
              <w:tc>
                <w:tcPr>
                  <w:tcW w:w="698"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347</w:t>
                  </w:r>
                </w:p>
              </w:tc>
              <w:tc>
                <w:tcPr>
                  <w:tcW w:w="6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18.5</w:t>
                  </w:r>
                </w:p>
              </w:tc>
              <w:tc>
                <w:tcPr>
                  <w:tcW w:w="7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265</w:t>
                  </w:r>
                </w:p>
              </w:tc>
              <w:tc>
                <w:tcPr>
                  <w:tcW w:w="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0.07</w:t>
                  </w:r>
                </w:p>
              </w:tc>
              <w:tc>
                <w:tcPr>
                  <w:tcW w:w="7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241</w:t>
                  </w:r>
                </w:p>
              </w:tc>
              <w:tc>
                <w:tcPr>
                  <w:tcW w:w="9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22.4</w:t>
                  </w:r>
                </w:p>
              </w:tc>
              <w:tc>
                <w:tcPr>
                  <w:tcW w:w="9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tcBorders>
                    <w:top w:val="nil"/>
                    <w:left w:val="single" w:color="000000" w:sz="4" w:space="0"/>
                    <w:bottom w:val="single" w:color="000000" w:sz="4" w:space="0"/>
                    <w:right w:val="single" w:color="000000" w:sz="4" w:space="0"/>
                  </w:tcBorders>
                  <w:shd w:val="clear" w:color="auto" w:fill="FFFFFF" w:themeFill="background1"/>
                  <w:vAlign w:val="center"/>
                </w:tcPr>
                <w:p>
                  <w:pPr>
                    <w:widowControl/>
                    <w:jc w:val="center"/>
                    <w:rPr>
                      <w:rFonts w:ascii="Times New Roman" w:hAnsi="Times New Roman" w:eastAsia="宋体" w:cs="Times New Roman"/>
                      <w:color w:val="000000"/>
                      <w:szCs w:val="21"/>
                    </w:rPr>
                  </w:pPr>
                </w:p>
              </w:tc>
              <w:tc>
                <w:tcPr>
                  <w:tcW w:w="529" w:type="dxa"/>
                  <w:vMerge w:val="continue"/>
                  <w:tcBorders>
                    <w:top w:val="nil"/>
                    <w:left w:val="single" w:color="auto" w:sz="4" w:space="0"/>
                    <w:bottom w:val="single" w:color="000000" w:sz="4" w:space="0"/>
                    <w:right w:val="single" w:color="000000" w:sz="4" w:space="0"/>
                  </w:tcBorders>
                  <w:shd w:val="clear" w:color="auto" w:fill="FFFFFF" w:themeFill="background1"/>
                  <w:vAlign w:val="center"/>
                </w:tcPr>
                <w:p>
                  <w:pPr>
                    <w:widowControl/>
                    <w:jc w:val="center"/>
                    <w:rPr>
                      <w:rFonts w:ascii="Times New Roman" w:hAnsi="Times New Roman" w:eastAsia="宋体" w:cs="Times New Roman"/>
                      <w:b/>
                      <w:bCs/>
                      <w:color w:val="000000"/>
                      <w:szCs w:val="21"/>
                    </w:rPr>
                  </w:pPr>
                </w:p>
              </w:tc>
              <w:tc>
                <w:tcPr>
                  <w:tcW w:w="529" w:type="dxa"/>
                  <w:tcBorders>
                    <w:top w:val="single" w:color="auto" w:sz="4" w:space="0"/>
                    <w:left w:val="single" w:color="auto" w:sz="4" w:space="0"/>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第二次</w:t>
                  </w:r>
                </w:p>
              </w:tc>
              <w:tc>
                <w:tcPr>
                  <w:tcW w:w="695" w:type="dxa"/>
                  <w:tcBorders>
                    <w:top w:val="single" w:color="auto"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浅白微浑</w:t>
                  </w:r>
                </w:p>
              </w:tc>
              <w:tc>
                <w:tcPr>
                  <w:tcW w:w="851" w:type="dxa"/>
                  <w:tcBorders>
                    <w:top w:val="single" w:color="000000"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2.7</w:t>
                  </w:r>
                </w:p>
              </w:tc>
              <w:tc>
                <w:tcPr>
                  <w:tcW w:w="698"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352</w:t>
                  </w:r>
                </w:p>
              </w:tc>
              <w:tc>
                <w:tcPr>
                  <w:tcW w:w="6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18.9</w:t>
                  </w:r>
                </w:p>
              </w:tc>
              <w:tc>
                <w:tcPr>
                  <w:tcW w:w="7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243</w:t>
                  </w:r>
                </w:p>
              </w:tc>
              <w:tc>
                <w:tcPr>
                  <w:tcW w:w="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szCs w:val="21"/>
                    </w:rPr>
                  </w:pPr>
                  <w:r>
                    <w:rPr>
                      <w:rFonts w:ascii="Times New Roman" w:hAnsi="Times New Roman" w:eastAsia="宋体" w:cs="Times New Roman"/>
                      <w:szCs w:val="21"/>
                    </w:rPr>
                    <w:t>0.08</w:t>
                  </w:r>
                </w:p>
              </w:tc>
              <w:tc>
                <w:tcPr>
                  <w:tcW w:w="7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szCs w:val="21"/>
                    </w:rPr>
                  </w:pPr>
                  <w:r>
                    <w:rPr>
                      <w:rFonts w:ascii="Times New Roman" w:hAnsi="Times New Roman" w:eastAsia="宋体" w:cs="Times New Roman"/>
                      <w:szCs w:val="21"/>
                    </w:rPr>
                    <w:t>261</w:t>
                  </w:r>
                </w:p>
              </w:tc>
              <w:tc>
                <w:tcPr>
                  <w:tcW w:w="9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22.6</w:t>
                  </w:r>
                </w:p>
              </w:tc>
              <w:tc>
                <w:tcPr>
                  <w:tcW w:w="9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26.4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tcBorders>
                    <w:top w:val="nil"/>
                    <w:left w:val="single" w:color="000000" w:sz="4" w:space="0"/>
                    <w:bottom w:val="single" w:color="000000" w:sz="4" w:space="0"/>
                    <w:right w:val="single" w:color="000000" w:sz="4" w:space="0"/>
                  </w:tcBorders>
                  <w:shd w:val="clear" w:color="auto" w:fill="FFFFFF" w:themeFill="background1"/>
                  <w:vAlign w:val="center"/>
                </w:tcPr>
                <w:p>
                  <w:pPr>
                    <w:widowControl/>
                    <w:jc w:val="center"/>
                    <w:rPr>
                      <w:rFonts w:ascii="Times New Roman" w:hAnsi="Times New Roman" w:eastAsia="宋体" w:cs="Times New Roman"/>
                      <w:color w:val="000000"/>
                      <w:szCs w:val="21"/>
                    </w:rPr>
                  </w:pPr>
                </w:p>
              </w:tc>
              <w:tc>
                <w:tcPr>
                  <w:tcW w:w="529" w:type="dxa"/>
                  <w:vMerge w:val="continue"/>
                  <w:tcBorders>
                    <w:top w:val="nil"/>
                    <w:left w:val="single" w:color="auto" w:sz="4" w:space="0"/>
                    <w:bottom w:val="single" w:color="000000" w:sz="4" w:space="0"/>
                    <w:right w:val="single" w:color="000000" w:sz="4" w:space="0"/>
                  </w:tcBorders>
                  <w:shd w:val="clear" w:color="auto" w:fill="FFFFFF" w:themeFill="background1"/>
                  <w:vAlign w:val="center"/>
                </w:tcPr>
                <w:p>
                  <w:pPr>
                    <w:widowControl/>
                    <w:jc w:val="center"/>
                    <w:rPr>
                      <w:rFonts w:ascii="Times New Roman" w:hAnsi="Times New Roman" w:eastAsia="宋体" w:cs="Times New Roman"/>
                      <w:b/>
                      <w:bCs/>
                      <w:color w:val="000000"/>
                      <w:szCs w:val="21"/>
                    </w:rPr>
                  </w:pPr>
                </w:p>
              </w:tc>
              <w:tc>
                <w:tcPr>
                  <w:tcW w:w="529" w:type="dxa"/>
                  <w:tcBorders>
                    <w:top w:val="single" w:color="auto" w:sz="4" w:space="0"/>
                    <w:left w:val="single" w:color="auto" w:sz="4" w:space="0"/>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第三次</w:t>
                  </w:r>
                </w:p>
              </w:tc>
              <w:tc>
                <w:tcPr>
                  <w:tcW w:w="695" w:type="dxa"/>
                  <w:tcBorders>
                    <w:top w:val="single" w:color="auto"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浅白微浑</w:t>
                  </w:r>
                </w:p>
              </w:tc>
              <w:tc>
                <w:tcPr>
                  <w:tcW w:w="851" w:type="dxa"/>
                  <w:tcBorders>
                    <w:top w:val="single" w:color="000000"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2.8</w:t>
                  </w:r>
                </w:p>
              </w:tc>
              <w:tc>
                <w:tcPr>
                  <w:tcW w:w="698" w:type="dxa"/>
                  <w:tcBorders>
                    <w:top w:val="single" w:color="000000" w:sz="4" w:space="0"/>
                    <w:left w:val="nil"/>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356</w:t>
                  </w:r>
                </w:p>
              </w:tc>
              <w:tc>
                <w:tcPr>
                  <w:tcW w:w="6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19.0</w:t>
                  </w:r>
                </w:p>
              </w:tc>
              <w:tc>
                <w:tcPr>
                  <w:tcW w:w="7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color w:val="000000"/>
                      <w:kern w:val="0"/>
                      <w:szCs w:val="21"/>
                    </w:rPr>
                    <w:t>252</w:t>
                  </w:r>
                </w:p>
              </w:tc>
              <w:tc>
                <w:tcPr>
                  <w:tcW w:w="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szCs w:val="21"/>
                    </w:rPr>
                  </w:pPr>
                  <w:r>
                    <w:rPr>
                      <w:rFonts w:ascii="Times New Roman" w:hAnsi="Times New Roman" w:eastAsia="宋体" w:cs="Times New Roman"/>
                      <w:szCs w:val="21"/>
                    </w:rPr>
                    <w:t>0.08</w:t>
                  </w:r>
                </w:p>
              </w:tc>
              <w:tc>
                <w:tcPr>
                  <w:tcW w:w="7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szCs w:val="21"/>
                    </w:rPr>
                  </w:pPr>
                  <w:r>
                    <w:rPr>
                      <w:rFonts w:ascii="Times New Roman" w:hAnsi="Times New Roman" w:eastAsia="宋体" w:cs="Times New Roman"/>
                      <w:szCs w:val="21"/>
                    </w:rPr>
                    <w:t>255</w:t>
                  </w:r>
                </w:p>
              </w:tc>
              <w:tc>
                <w:tcPr>
                  <w:tcW w:w="9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22.8</w:t>
                  </w:r>
                </w:p>
              </w:tc>
              <w:tc>
                <w:tcPr>
                  <w:tcW w:w="9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26.6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tcBorders>
                    <w:top w:val="nil"/>
                    <w:left w:val="single" w:color="000000" w:sz="4" w:space="0"/>
                    <w:bottom w:val="single" w:color="000000" w:sz="4" w:space="0"/>
                    <w:right w:val="single" w:color="000000" w:sz="4" w:space="0"/>
                  </w:tcBorders>
                  <w:shd w:val="clear" w:color="auto" w:fill="FFFFFF" w:themeFill="background1"/>
                  <w:vAlign w:val="center"/>
                </w:tcPr>
                <w:p>
                  <w:pPr>
                    <w:widowControl/>
                    <w:jc w:val="center"/>
                    <w:rPr>
                      <w:rFonts w:ascii="Times New Roman" w:hAnsi="Times New Roman" w:eastAsia="宋体" w:cs="Times New Roman"/>
                      <w:color w:val="000000"/>
                      <w:szCs w:val="21"/>
                    </w:rPr>
                  </w:pPr>
                </w:p>
              </w:tc>
              <w:tc>
                <w:tcPr>
                  <w:tcW w:w="529" w:type="dxa"/>
                  <w:vMerge w:val="continue"/>
                  <w:tcBorders>
                    <w:top w:val="nil"/>
                    <w:left w:val="single" w:color="auto" w:sz="4" w:space="0"/>
                    <w:bottom w:val="single" w:color="000000" w:sz="4" w:space="0"/>
                    <w:right w:val="single" w:color="000000" w:sz="4" w:space="0"/>
                  </w:tcBorders>
                  <w:shd w:val="clear" w:color="auto" w:fill="FFFFFF" w:themeFill="background1"/>
                  <w:vAlign w:val="center"/>
                </w:tcPr>
                <w:p>
                  <w:pPr>
                    <w:widowControl/>
                    <w:jc w:val="center"/>
                    <w:rPr>
                      <w:rFonts w:ascii="Times New Roman" w:hAnsi="Times New Roman" w:eastAsia="宋体" w:cs="Times New Roman"/>
                      <w:b/>
                      <w:bCs/>
                      <w:color w:val="000000"/>
                      <w:szCs w:val="21"/>
                    </w:rPr>
                  </w:pPr>
                </w:p>
              </w:tc>
              <w:tc>
                <w:tcPr>
                  <w:tcW w:w="529" w:type="dxa"/>
                  <w:tcBorders>
                    <w:top w:val="single" w:color="auto" w:sz="4" w:space="0"/>
                    <w:left w:val="single" w:color="auto" w:sz="4" w:space="0"/>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szCs w:val="21"/>
                    </w:rPr>
                    <w:t>日均值</w:t>
                  </w:r>
                </w:p>
              </w:tc>
              <w:tc>
                <w:tcPr>
                  <w:tcW w:w="695" w:type="dxa"/>
                  <w:tcBorders>
                    <w:top w:val="single" w:color="auto"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szCs w:val="21"/>
                    </w:rPr>
                    <w:t>——</w:t>
                  </w:r>
                </w:p>
              </w:tc>
              <w:tc>
                <w:tcPr>
                  <w:tcW w:w="851" w:type="dxa"/>
                  <w:tcBorders>
                    <w:top w:val="single" w:color="000000"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szCs w:val="21"/>
                    </w:rPr>
                    <w:t>2.5~2.8</w:t>
                  </w:r>
                </w:p>
              </w:tc>
              <w:tc>
                <w:tcPr>
                  <w:tcW w:w="698" w:type="dxa"/>
                  <w:tcBorders>
                    <w:top w:val="single" w:color="000000" w:sz="4" w:space="0"/>
                    <w:left w:val="nil"/>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kern w:val="0"/>
                      <w:szCs w:val="21"/>
                    </w:rPr>
                  </w:pPr>
                  <w:r>
                    <w:rPr>
                      <w:rFonts w:ascii="Times New Roman" w:hAnsi="Times New Roman" w:eastAsia="宋体" w:cs="Times New Roman"/>
                      <w:b/>
                      <w:bCs/>
                      <w:szCs w:val="21"/>
                    </w:rPr>
                    <w:t>352</w:t>
                  </w:r>
                </w:p>
              </w:tc>
              <w:tc>
                <w:tcPr>
                  <w:tcW w:w="6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kern w:val="0"/>
                      <w:szCs w:val="21"/>
                    </w:rPr>
                  </w:pPr>
                  <w:r>
                    <w:rPr>
                      <w:rFonts w:ascii="Times New Roman" w:hAnsi="Times New Roman" w:eastAsia="宋体" w:cs="Times New Roman"/>
                      <w:b/>
                      <w:bCs/>
                      <w:szCs w:val="21"/>
                    </w:rPr>
                    <w:t>18.8</w:t>
                  </w:r>
                </w:p>
              </w:tc>
              <w:tc>
                <w:tcPr>
                  <w:tcW w:w="7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kern w:val="0"/>
                      <w:szCs w:val="21"/>
                    </w:rPr>
                  </w:pPr>
                  <w:r>
                    <w:rPr>
                      <w:rFonts w:ascii="Times New Roman" w:hAnsi="Times New Roman" w:eastAsia="宋体" w:cs="Times New Roman"/>
                      <w:b/>
                      <w:bCs/>
                      <w:szCs w:val="21"/>
                    </w:rPr>
                    <w:t>253</w:t>
                  </w:r>
                </w:p>
              </w:tc>
              <w:tc>
                <w:tcPr>
                  <w:tcW w:w="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kern w:val="0"/>
                      <w:szCs w:val="21"/>
                      <w:lang w:bidi="ar"/>
                    </w:rPr>
                  </w:pPr>
                  <w:r>
                    <w:rPr>
                      <w:rFonts w:ascii="Times New Roman" w:hAnsi="Times New Roman" w:eastAsia="宋体" w:cs="Times New Roman"/>
                      <w:b/>
                      <w:bCs/>
                      <w:kern w:val="0"/>
                      <w:szCs w:val="21"/>
                      <w:lang w:bidi="ar"/>
                    </w:rPr>
                    <w:t>0.08</w:t>
                  </w:r>
                </w:p>
              </w:tc>
              <w:tc>
                <w:tcPr>
                  <w:tcW w:w="7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kern w:val="0"/>
                      <w:szCs w:val="21"/>
                      <w:lang w:bidi="ar"/>
                    </w:rPr>
                  </w:pPr>
                  <w:r>
                    <w:rPr>
                      <w:rFonts w:ascii="Times New Roman" w:hAnsi="Times New Roman" w:eastAsia="宋体" w:cs="Times New Roman"/>
                      <w:b/>
                      <w:bCs/>
                      <w:kern w:val="0"/>
                      <w:szCs w:val="21"/>
                      <w:lang w:bidi="ar"/>
                    </w:rPr>
                    <w:t>252</w:t>
                  </w:r>
                </w:p>
              </w:tc>
              <w:tc>
                <w:tcPr>
                  <w:tcW w:w="9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22.6</w:t>
                  </w:r>
                </w:p>
              </w:tc>
              <w:tc>
                <w:tcPr>
                  <w:tcW w:w="9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26.8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0" w:type="auto"/>
                  <w:gridSpan w:val="4"/>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最大日均值</w:t>
                  </w:r>
                </w:p>
              </w:tc>
              <w:tc>
                <w:tcPr>
                  <w:tcW w:w="851" w:type="dxa"/>
                  <w:tcBorders>
                    <w:top w:val="single" w:color="000000" w:sz="4" w:space="0"/>
                    <w:left w:val="nil"/>
                    <w:bottom w:val="single" w:color="000000" w:sz="4" w:space="0"/>
                    <w:right w:val="single" w:color="auto" w:sz="4" w:space="0"/>
                  </w:tcBorders>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2.5~2.8</w:t>
                  </w:r>
                </w:p>
              </w:tc>
              <w:tc>
                <w:tcPr>
                  <w:tcW w:w="698" w:type="dxa"/>
                  <w:tcBorders>
                    <w:top w:val="single" w:color="000000" w:sz="4" w:space="0"/>
                    <w:left w:val="nil"/>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366</w:t>
                  </w:r>
                </w:p>
              </w:tc>
              <w:tc>
                <w:tcPr>
                  <w:tcW w:w="6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18.8</w:t>
                  </w:r>
                </w:p>
              </w:tc>
              <w:tc>
                <w:tcPr>
                  <w:tcW w:w="7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276</w:t>
                  </w:r>
                </w:p>
              </w:tc>
              <w:tc>
                <w:tcPr>
                  <w:tcW w:w="7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kern w:val="0"/>
                      <w:szCs w:val="21"/>
                      <w:lang w:bidi="ar"/>
                    </w:rPr>
                  </w:pPr>
                  <w:r>
                    <w:rPr>
                      <w:rFonts w:ascii="Times New Roman" w:hAnsi="Times New Roman" w:eastAsia="宋体" w:cs="Times New Roman"/>
                      <w:b/>
                      <w:bCs/>
                      <w:kern w:val="0"/>
                      <w:szCs w:val="21"/>
                      <w:lang w:bidi="ar"/>
                    </w:rPr>
                    <w:t>0.10</w:t>
                  </w:r>
                </w:p>
              </w:tc>
              <w:tc>
                <w:tcPr>
                  <w:tcW w:w="7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kern w:val="0"/>
                      <w:szCs w:val="21"/>
                      <w:lang w:bidi="ar"/>
                    </w:rPr>
                  </w:pPr>
                  <w:r>
                    <w:rPr>
                      <w:rFonts w:ascii="Times New Roman" w:hAnsi="Times New Roman" w:eastAsia="宋体" w:cs="Times New Roman"/>
                      <w:b/>
                      <w:bCs/>
                      <w:kern w:val="0"/>
                      <w:szCs w:val="21"/>
                      <w:lang w:bidi="ar"/>
                    </w:rPr>
                    <w:t>256</w:t>
                  </w:r>
                </w:p>
              </w:tc>
              <w:tc>
                <w:tcPr>
                  <w:tcW w:w="92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22.7</w:t>
                  </w:r>
                </w:p>
              </w:tc>
              <w:tc>
                <w:tcPr>
                  <w:tcW w:w="98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27.6</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restart"/>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废水总排口FS2</w:t>
                  </w:r>
                </w:p>
              </w:tc>
              <w:tc>
                <w:tcPr>
                  <w:tcW w:w="529" w:type="dxa"/>
                  <w:vMerge w:val="restart"/>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8月</w:t>
                  </w:r>
                </w:p>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31日</w:t>
                  </w:r>
                </w:p>
              </w:tc>
              <w:tc>
                <w:tcPr>
                  <w:tcW w:w="529" w:type="dxa"/>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第一次</w:t>
                  </w:r>
                </w:p>
              </w:tc>
              <w:tc>
                <w:tcPr>
                  <w:tcW w:w="69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浅黄微浑</w:t>
                  </w:r>
                </w:p>
              </w:tc>
              <w:tc>
                <w:tcPr>
                  <w:tcW w:w="851"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7.4</w:t>
                  </w:r>
                </w:p>
              </w:tc>
              <w:tc>
                <w:tcPr>
                  <w:tcW w:w="698"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165</w:t>
                  </w:r>
                </w:p>
              </w:tc>
              <w:tc>
                <w:tcPr>
                  <w:tcW w:w="67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6.45</w:t>
                  </w:r>
                </w:p>
              </w:tc>
              <w:tc>
                <w:tcPr>
                  <w:tcW w:w="738"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18</w:t>
                  </w:r>
                </w:p>
              </w:tc>
              <w:tc>
                <w:tcPr>
                  <w:tcW w:w="70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&lt;0.06</w:t>
                  </w:r>
                </w:p>
              </w:tc>
              <w:tc>
                <w:tcPr>
                  <w:tcW w:w="77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3.18</w:t>
                  </w:r>
                </w:p>
              </w:tc>
              <w:tc>
                <w:tcPr>
                  <w:tcW w:w="927"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3.91</w:t>
                  </w:r>
                </w:p>
              </w:tc>
              <w:tc>
                <w:tcPr>
                  <w:tcW w:w="98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shd w:val="clear" w:color="auto" w:fill="FFFFFF" w:themeFill="background1"/>
                  <w:vAlign w:val="center"/>
                </w:tcPr>
                <w:p>
                  <w:pPr>
                    <w:widowControl/>
                    <w:jc w:val="center"/>
                    <w:rPr>
                      <w:rFonts w:ascii="Times New Roman" w:hAnsi="Times New Roman" w:eastAsia="宋体" w:cs="Times New Roman"/>
                      <w:color w:val="000000"/>
                      <w:szCs w:val="21"/>
                    </w:rPr>
                  </w:pPr>
                </w:p>
              </w:tc>
              <w:tc>
                <w:tcPr>
                  <w:tcW w:w="529" w:type="dxa"/>
                  <w:vMerge w:val="continue"/>
                  <w:shd w:val="clear" w:color="auto" w:fill="FFFFFF" w:themeFill="background1"/>
                  <w:vAlign w:val="center"/>
                </w:tcPr>
                <w:p>
                  <w:pPr>
                    <w:widowControl/>
                    <w:jc w:val="center"/>
                    <w:rPr>
                      <w:rFonts w:ascii="Times New Roman" w:hAnsi="Times New Roman" w:eastAsia="宋体" w:cs="Times New Roman"/>
                      <w:color w:val="000000"/>
                      <w:szCs w:val="21"/>
                    </w:rPr>
                  </w:pPr>
                </w:p>
              </w:tc>
              <w:tc>
                <w:tcPr>
                  <w:tcW w:w="529" w:type="dxa"/>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第二次</w:t>
                  </w:r>
                </w:p>
              </w:tc>
              <w:tc>
                <w:tcPr>
                  <w:tcW w:w="69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浅黄微浑</w:t>
                  </w:r>
                </w:p>
              </w:tc>
              <w:tc>
                <w:tcPr>
                  <w:tcW w:w="851"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7.4</w:t>
                  </w:r>
                </w:p>
              </w:tc>
              <w:tc>
                <w:tcPr>
                  <w:tcW w:w="698"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169</w:t>
                  </w:r>
                </w:p>
              </w:tc>
              <w:tc>
                <w:tcPr>
                  <w:tcW w:w="67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6.58</w:t>
                  </w:r>
                </w:p>
              </w:tc>
              <w:tc>
                <w:tcPr>
                  <w:tcW w:w="738"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19</w:t>
                  </w:r>
                </w:p>
              </w:tc>
              <w:tc>
                <w:tcPr>
                  <w:tcW w:w="70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&lt;0.06</w:t>
                  </w:r>
                </w:p>
              </w:tc>
              <w:tc>
                <w:tcPr>
                  <w:tcW w:w="77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3.08</w:t>
                  </w:r>
                </w:p>
              </w:tc>
              <w:tc>
                <w:tcPr>
                  <w:tcW w:w="927"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3.94</w:t>
                  </w:r>
                </w:p>
              </w:tc>
              <w:tc>
                <w:tcPr>
                  <w:tcW w:w="98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shd w:val="clear" w:color="auto" w:fill="FFFFFF" w:themeFill="background1"/>
                  <w:vAlign w:val="center"/>
                </w:tcPr>
                <w:p>
                  <w:pPr>
                    <w:widowControl/>
                    <w:jc w:val="center"/>
                    <w:rPr>
                      <w:rFonts w:ascii="Times New Roman" w:hAnsi="Times New Roman" w:eastAsia="宋体" w:cs="Times New Roman"/>
                      <w:color w:val="000000"/>
                      <w:szCs w:val="21"/>
                    </w:rPr>
                  </w:pPr>
                </w:p>
              </w:tc>
              <w:tc>
                <w:tcPr>
                  <w:tcW w:w="529" w:type="dxa"/>
                  <w:vMerge w:val="continue"/>
                  <w:shd w:val="clear" w:color="auto" w:fill="FFFFFF" w:themeFill="background1"/>
                  <w:vAlign w:val="center"/>
                </w:tcPr>
                <w:p>
                  <w:pPr>
                    <w:widowControl/>
                    <w:jc w:val="center"/>
                    <w:rPr>
                      <w:rFonts w:ascii="Times New Roman" w:hAnsi="Times New Roman" w:eastAsia="宋体" w:cs="Times New Roman"/>
                      <w:color w:val="000000"/>
                      <w:szCs w:val="21"/>
                    </w:rPr>
                  </w:pPr>
                </w:p>
              </w:tc>
              <w:tc>
                <w:tcPr>
                  <w:tcW w:w="529" w:type="dxa"/>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第三次</w:t>
                  </w:r>
                </w:p>
              </w:tc>
              <w:tc>
                <w:tcPr>
                  <w:tcW w:w="69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浅黄微浑</w:t>
                  </w:r>
                </w:p>
              </w:tc>
              <w:tc>
                <w:tcPr>
                  <w:tcW w:w="851"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7.4</w:t>
                  </w:r>
                </w:p>
              </w:tc>
              <w:tc>
                <w:tcPr>
                  <w:tcW w:w="698"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173</w:t>
                  </w:r>
                </w:p>
              </w:tc>
              <w:tc>
                <w:tcPr>
                  <w:tcW w:w="67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6.67</w:t>
                  </w:r>
                </w:p>
              </w:tc>
              <w:tc>
                <w:tcPr>
                  <w:tcW w:w="738"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25</w:t>
                  </w:r>
                </w:p>
              </w:tc>
              <w:tc>
                <w:tcPr>
                  <w:tcW w:w="70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&lt;0.06</w:t>
                  </w:r>
                </w:p>
              </w:tc>
              <w:tc>
                <w:tcPr>
                  <w:tcW w:w="77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3.06</w:t>
                  </w:r>
                </w:p>
              </w:tc>
              <w:tc>
                <w:tcPr>
                  <w:tcW w:w="927"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3.97</w:t>
                  </w:r>
                </w:p>
              </w:tc>
              <w:tc>
                <w:tcPr>
                  <w:tcW w:w="98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shd w:val="clear" w:color="auto" w:fill="FFFFFF" w:themeFill="background1"/>
                  <w:vAlign w:val="center"/>
                </w:tcPr>
                <w:p>
                  <w:pPr>
                    <w:widowControl/>
                    <w:jc w:val="center"/>
                    <w:rPr>
                      <w:rFonts w:ascii="Times New Roman" w:hAnsi="Times New Roman" w:eastAsia="宋体" w:cs="Times New Roman"/>
                      <w:color w:val="000000"/>
                      <w:szCs w:val="21"/>
                    </w:rPr>
                  </w:pPr>
                </w:p>
              </w:tc>
              <w:tc>
                <w:tcPr>
                  <w:tcW w:w="529" w:type="dxa"/>
                  <w:vMerge w:val="continue"/>
                  <w:shd w:val="clear" w:color="auto" w:fill="FFFFFF" w:themeFill="background1"/>
                  <w:vAlign w:val="center"/>
                </w:tcPr>
                <w:p>
                  <w:pPr>
                    <w:widowControl/>
                    <w:jc w:val="center"/>
                    <w:rPr>
                      <w:rFonts w:ascii="Times New Roman" w:hAnsi="Times New Roman" w:eastAsia="宋体" w:cs="Times New Roman"/>
                      <w:color w:val="000000"/>
                      <w:szCs w:val="21"/>
                    </w:rPr>
                  </w:pPr>
                </w:p>
              </w:tc>
              <w:tc>
                <w:tcPr>
                  <w:tcW w:w="529" w:type="dxa"/>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日均值</w:t>
                  </w:r>
                </w:p>
              </w:tc>
              <w:tc>
                <w:tcPr>
                  <w:tcW w:w="695" w:type="dxa"/>
                  <w:shd w:val="clear" w:color="auto" w:fill="FFFFFF" w:themeFill="background1"/>
                  <w:vAlign w:val="center"/>
                </w:tcPr>
                <w:p>
                  <w:p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w:t>
                  </w:r>
                </w:p>
              </w:tc>
              <w:tc>
                <w:tcPr>
                  <w:tcW w:w="851" w:type="dxa"/>
                  <w:shd w:val="clear" w:color="auto" w:fill="FFFFFF" w:themeFill="background1"/>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7.4</w:t>
                  </w:r>
                </w:p>
              </w:tc>
              <w:tc>
                <w:tcPr>
                  <w:tcW w:w="698" w:type="dxa"/>
                  <w:shd w:val="clear" w:color="auto" w:fill="FFFFFF" w:themeFill="background1"/>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169</w:t>
                  </w:r>
                </w:p>
              </w:tc>
              <w:tc>
                <w:tcPr>
                  <w:tcW w:w="674" w:type="dxa"/>
                  <w:shd w:val="clear" w:color="auto" w:fill="FFFFFF" w:themeFill="background1"/>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6.57</w:t>
                  </w:r>
                </w:p>
              </w:tc>
              <w:tc>
                <w:tcPr>
                  <w:tcW w:w="738" w:type="dxa"/>
                  <w:shd w:val="clear" w:color="auto" w:fill="FFFFFF" w:themeFill="background1"/>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21</w:t>
                  </w:r>
                </w:p>
              </w:tc>
              <w:tc>
                <w:tcPr>
                  <w:tcW w:w="704"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&lt;0.06</w:t>
                  </w:r>
                </w:p>
              </w:tc>
              <w:tc>
                <w:tcPr>
                  <w:tcW w:w="774"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3.11</w:t>
                  </w:r>
                </w:p>
              </w:tc>
              <w:tc>
                <w:tcPr>
                  <w:tcW w:w="927"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3.94</w:t>
                  </w:r>
                </w:p>
              </w:tc>
              <w:tc>
                <w:tcPr>
                  <w:tcW w:w="984"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0.14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shd w:val="clear" w:color="auto" w:fill="FFFFFF" w:themeFill="background1"/>
                  <w:vAlign w:val="center"/>
                </w:tcPr>
                <w:p>
                  <w:pPr>
                    <w:widowControl/>
                    <w:jc w:val="center"/>
                    <w:rPr>
                      <w:rFonts w:ascii="Times New Roman" w:hAnsi="Times New Roman" w:eastAsia="宋体" w:cs="Times New Roman"/>
                      <w:color w:val="000000"/>
                      <w:szCs w:val="21"/>
                    </w:rPr>
                  </w:pPr>
                </w:p>
              </w:tc>
              <w:tc>
                <w:tcPr>
                  <w:tcW w:w="529" w:type="dxa"/>
                  <w:vMerge w:val="restart"/>
                  <w:shd w:val="clear" w:color="auto" w:fill="FFFFFF" w:themeFill="background1"/>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kern w:val="0"/>
                      <w:szCs w:val="21"/>
                    </w:rPr>
                    <w:t>9月</w:t>
                  </w:r>
                </w:p>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1日</w:t>
                  </w:r>
                </w:p>
                <w:p>
                  <w:pPr>
                    <w:jc w:val="center"/>
                    <w:rPr>
                      <w:rFonts w:ascii="Times New Roman" w:hAnsi="Times New Roman" w:eastAsia="宋体" w:cs="Times New Roman"/>
                      <w:b/>
                      <w:bCs/>
                      <w:color w:val="000000"/>
                      <w:kern w:val="0"/>
                      <w:szCs w:val="21"/>
                    </w:rPr>
                  </w:pPr>
                </w:p>
              </w:tc>
              <w:tc>
                <w:tcPr>
                  <w:tcW w:w="529" w:type="dxa"/>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第一次</w:t>
                  </w:r>
                </w:p>
              </w:tc>
              <w:tc>
                <w:tcPr>
                  <w:tcW w:w="69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浅黄微浑</w:t>
                  </w:r>
                </w:p>
              </w:tc>
              <w:tc>
                <w:tcPr>
                  <w:tcW w:w="851"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7.4</w:t>
                  </w:r>
                </w:p>
              </w:tc>
              <w:tc>
                <w:tcPr>
                  <w:tcW w:w="698"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177</w:t>
                  </w:r>
                </w:p>
              </w:tc>
              <w:tc>
                <w:tcPr>
                  <w:tcW w:w="674" w:type="dxa"/>
                  <w:shd w:val="clear" w:color="auto" w:fill="FFFFFF" w:themeFill="background1"/>
                  <w:vAlign w:val="center"/>
                </w:tcPr>
                <w:p>
                  <w:pPr>
                    <w:widowControl/>
                    <w:jc w:val="center"/>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6.77</w:t>
                  </w:r>
                </w:p>
              </w:tc>
              <w:tc>
                <w:tcPr>
                  <w:tcW w:w="738"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18</w:t>
                  </w:r>
                </w:p>
              </w:tc>
              <w:tc>
                <w:tcPr>
                  <w:tcW w:w="70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0.06</w:t>
                  </w:r>
                </w:p>
              </w:tc>
              <w:tc>
                <w:tcPr>
                  <w:tcW w:w="77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3.10</w:t>
                  </w:r>
                </w:p>
              </w:tc>
              <w:tc>
                <w:tcPr>
                  <w:tcW w:w="927"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color w:val="000000"/>
                      <w:kern w:val="0"/>
                      <w:szCs w:val="21"/>
                      <w:lang w:bidi="ar"/>
                    </w:rPr>
                    <w:t>3.88</w:t>
                  </w:r>
                </w:p>
              </w:tc>
              <w:tc>
                <w:tcPr>
                  <w:tcW w:w="98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0.11</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shd w:val="clear" w:color="auto" w:fill="FFFFFF" w:themeFill="background1"/>
                  <w:vAlign w:val="center"/>
                </w:tcPr>
                <w:p>
                  <w:pPr>
                    <w:widowControl/>
                    <w:jc w:val="center"/>
                    <w:rPr>
                      <w:rFonts w:ascii="Times New Roman" w:hAnsi="Times New Roman" w:eastAsia="宋体" w:cs="Times New Roman"/>
                      <w:color w:val="000000"/>
                      <w:szCs w:val="21"/>
                    </w:rPr>
                  </w:pPr>
                </w:p>
              </w:tc>
              <w:tc>
                <w:tcPr>
                  <w:tcW w:w="529" w:type="dxa"/>
                  <w:vMerge w:val="continue"/>
                  <w:shd w:val="clear" w:color="auto" w:fill="FFFFFF" w:themeFill="background1"/>
                  <w:vAlign w:val="center"/>
                </w:tcPr>
                <w:p>
                  <w:pPr>
                    <w:widowControl/>
                    <w:jc w:val="center"/>
                    <w:rPr>
                      <w:rFonts w:ascii="Times New Roman" w:hAnsi="Times New Roman" w:eastAsia="宋体" w:cs="Times New Roman"/>
                      <w:b/>
                      <w:bCs/>
                      <w:color w:val="000000"/>
                      <w:szCs w:val="21"/>
                    </w:rPr>
                  </w:pPr>
                </w:p>
              </w:tc>
              <w:tc>
                <w:tcPr>
                  <w:tcW w:w="529" w:type="dxa"/>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第二次</w:t>
                  </w:r>
                </w:p>
              </w:tc>
              <w:tc>
                <w:tcPr>
                  <w:tcW w:w="69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浅黄微浑</w:t>
                  </w:r>
                </w:p>
              </w:tc>
              <w:tc>
                <w:tcPr>
                  <w:tcW w:w="851"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7.4</w:t>
                  </w:r>
                </w:p>
              </w:tc>
              <w:tc>
                <w:tcPr>
                  <w:tcW w:w="698"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175</w:t>
                  </w:r>
                </w:p>
              </w:tc>
              <w:tc>
                <w:tcPr>
                  <w:tcW w:w="67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6.88</w:t>
                  </w:r>
                </w:p>
              </w:tc>
              <w:tc>
                <w:tcPr>
                  <w:tcW w:w="738"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17</w:t>
                  </w:r>
                </w:p>
              </w:tc>
              <w:tc>
                <w:tcPr>
                  <w:tcW w:w="70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0.08</w:t>
                  </w:r>
                </w:p>
              </w:tc>
              <w:tc>
                <w:tcPr>
                  <w:tcW w:w="77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3.04</w:t>
                  </w:r>
                </w:p>
              </w:tc>
              <w:tc>
                <w:tcPr>
                  <w:tcW w:w="927"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3.90</w:t>
                  </w:r>
                </w:p>
              </w:tc>
              <w:tc>
                <w:tcPr>
                  <w:tcW w:w="98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shd w:val="clear" w:color="auto" w:fill="FFFFFF" w:themeFill="background1"/>
                  <w:vAlign w:val="center"/>
                </w:tcPr>
                <w:p>
                  <w:pPr>
                    <w:widowControl/>
                    <w:jc w:val="center"/>
                    <w:rPr>
                      <w:rFonts w:ascii="Times New Roman" w:hAnsi="Times New Roman" w:eastAsia="宋体" w:cs="Times New Roman"/>
                      <w:color w:val="000000"/>
                      <w:szCs w:val="21"/>
                    </w:rPr>
                  </w:pPr>
                </w:p>
              </w:tc>
              <w:tc>
                <w:tcPr>
                  <w:tcW w:w="529" w:type="dxa"/>
                  <w:vMerge w:val="continue"/>
                  <w:shd w:val="clear" w:color="auto" w:fill="FFFFFF" w:themeFill="background1"/>
                  <w:vAlign w:val="center"/>
                </w:tcPr>
                <w:p>
                  <w:pPr>
                    <w:widowControl/>
                    <w:jc w:val="center"/>
                    <w:rPr>
                      <w:rFonts w:ascii="Times New Roman" w:hAnsi="Times New Roman" w:eastAsia="宋体" w:cs="Times New Roman"/>
                      <w:b/>
                      <w:bCs/>
                      <w:color w:val="000000"/>
                      <w:szCs w:val="21"/>
                    </w:rPr>
                  </w:pPr>
                </w:p>
              </w:tc>
              <w:tc>
                <w:tcPr>
                  <w:tcW w:w="529" w:type="dxa"/>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第三次</w:t>
                  </w:r>
                </w:p>
              </w:tc>
              <w:tc>
                <w:tcPr>
                  <w:tcW w:w="695"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浅黄微浑</w:t>
                  </w:r>
                </w:p>
              </w:tc>
              <w:tc>
                <w:tcPr>
                  <w:tcW w:w="851"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7.4</w:t>
                  </w:r>
                </w:p>
              </w:tc>
              <w:tc>
                <w:tcPr>
                  <w:tcW w:w="698"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168</w:t>
                  </w:r>
                </w:p>
              </w:tc>
              <w:tc>
                <w:tcPr>
                  <w:tcW w:w="67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6.91</w:t>
                  </w:r>
                </w:p>
              </w:tc>
              <w:tc>
                <w:tcPr>
                  <w:tcW w:w="738"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24</w:t>
                  </w:r>
                </w:p>
              </w:tc>
              <w:tc>
                <w:tcPr>
                  <w:tcW w:w="70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0.07</w:t>
                  </w:r>
                </w:p>
              </w:tc>
              <w:tc>
                <w:tcPr>
                  <w:tcW w:w="77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3.02</w:t>
                  </w:r>
                </w:p>
              </w:tc>
              <w:tc>
                <w:tcPr>
                  <w:tcW w:w="927"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3.92</w:t>
                  </w:r>
                </w:p>
              </w:tc>
              <w:tc>
                <w:tcPr>
                  <w:tcW w:w="984" w:type="dxa"/>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685" w:type="dxa"/>
                  <w:vMerge w:val="continue"/>
                  <w:shd w:val="clear" w:color="auto" w:fill="FFFFFF" w:themeFill="background1"/>
                  <w:vAlign w:val="center"/>
                </w:tcPr>
                <w:p>
                  <w:pPr>
                    <w:widowControl/>
                    <w:jc w:val="center"/>
                    <w:rPr>
                      <w:rFonts w:ascii="Times New Roman" w:hAnsi="Times New Roman" w:eastAsia="宋体" w:cs="Times New Roman"/>
                      <w:color w:val="000000"/>
                      <w:szCs w:val="21"/>
                    </w:rPr>
                  </w:pPr>
                </w:p>
              </w:tc>
              <w:tc>
                <w:tcPr>
                  <w:tcW w:w="529" w:type="dxa"/>
                  <w:vMerge w:val="continue"/>
                  <w:shd w:val="clear" w:color="auto" w:fill="FFFFFF" w:themeFill="background1"/>
                  <w:vAlign w:val="center"/>
                </w:tcPr>
                <w:p>
                  <w:pPr>
                    <w:widowControl/>
                    <w:jc w:val="center"/>
                    <w:rPr>
                      <w:rFonts w:ascii="Times New Roman" w:hAnsi="Times New Roman" w:eastAsia="宋体" w:cs="Times New Roman"/>
                      <w:b/>
                      <w:bCs/>
                      <w:color w:val="000000"/>
                      <w:szCs w:val="21"/>
                    </w:rPr>
                  </w:pPr>
                </w:p>
              </w:tc>
              <w:tc>
                <w:tcPr>
                  <w:tcW w:w="529" w:type="dxa"/>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日均值</w:t>
                  </w:r>
                </w:p>
              </w:tc>
              <w:tc>
                <w:tcPr>
                  <w:tcW w:w="695" w:type="dxa"/>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w:t>
                  </w:r>
                </w:p>
              </w:tc>
              <w:tc>
                <w:tcPr>
                  <w:tcW w:w="851" w:type="dxa"/>
                  <w:shd w:val="clear" w:color="auto" w:fill="FFFFFF" w:themeFill="background1"/>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7.4</w:t>
                  </w:r>
                </w:p>
              </w:tc>
              <w:tc>
                <w:tcPr>
                  <w:tcW w:w="698" w:type="dxa"/>
                  <w:shd w:val="clear" w:color="auto" w:fill="FFFFFF" w:themeFill="background1"/>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173</w:t>
                  </w:r>
                </w:p>
              </w:tc>
              <w:tc>
                <w:tcPr>
                  <w:tcW w:w="674" w:type="dxa"/>
                  <w:shd w:val="clear" w:color="auto" w:fill="FFFFFF" w:themeFill="background1"/>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6.85</w:t>
                  </w:r>
                </w:p>
              </w:tc>
              <w:tc>
                <w:tcPr>
                  <w:tcW w:w="738" w:type="dxa"/>
                  <w:shd w:val="clear" w:color="auto" w:fill="FFFFFF" w:themeFill="background1"/>
                  <w:vAlign w:val="center"/>
                </w:tcPr>
                <w:p>
                  <w:pPr>
                    <w:widowControl/>
                    <w:jc w:val="center"/>
                    <w:textAlignment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20</w:t>
                  </w:r>
                </w:p>
              </w:tc>
              <w:tc>
                <w:tcPr>
                  <w:tcW w:w="704"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0.07</w:t>
                  </w:r>
                </w:p>
              </w:tc>
              <w:tc>
                <w:tcPr>
                  <w:tcW w:w="774"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3.05</w:t>
                  </w:r>
                </w:p>
              </w:tc>
              <w:tc>
                <w:tcPr>
                  <w:tcW w:w="927"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3.90</w:t>
                  </w:r>
                </w:p>
              </w:tc>
              <w:tc>
                <w:tcPr>
                  <w:tcW w:w="984"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0.12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0" w:type="auto"/>
                  <w:gridSpan w:val="4"/>
                  <w:shd w:val="clear" w:color="auto" w:fill="FFFFFF" w:themeFill="background1"/>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kern w:val="0"/>
                      <w:szCs w:val="21"/>
                    </w:rPr>
                    <w:t>最大日均值</w:t>
                  </w:r>
                </w:p>
              </w:tc>
              <w:tc>
                <w:tcPr>
                  <w:tcW w:w="851" w:type="dxa"/>
                  <w:shd w:val="clear" w:color="auto" w:fill="FFFFFF" w:themeFill="background1"/>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7.4</w:t>
                  </w:r>
                </w:p>
              </w:tc>
              <w:tc>
                <w:tcPr>
                  <w:tcW w:w="698"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173</w:t>
                  </w:r>
                </w:p>
              </w:tc>
              <w:tc>
                <w:tcPr>
                  <w:tcW w:w="674"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6.85</w:t>
                  </w:r>
                </w:p>
              </w:tc>
              <w:tc>
                <w:tcPr>
                  <w:tcW w:w="738"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21</w:t>
                  </w:r>
                </w:p>
              </w:tc>
              <w:tc>
                <w:tcPr>
                  <w:tcW w:w="704"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0.07</w:t>
                  </w:r>
                </w:p>
              </w:tc>
              <w:tc>
                <w:tcPr>
                  <w:tcW w:w="774"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3.11</w:t>
                  </w:r>
                </w:p>
              </w:tc>
              <w:tc>
                <w:tcPr>
                  <w:tcW w:w="927"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3.94</w:t>
                  </w:r>
                </w:p>
              </w:tc>
              <w:tc>
                <w:tcPr>
                  <w:tcW w:w="984" w:type="dxa"/>
                  <w:shd w:val="clear" w:color="auto" w:fill="FFFFFF" w:themeFill="background1"/>
                  <w:vAlign w:val="center"/>
                </w:tcPr>
                <w:p>
                  <w:pPr>
                    <w:widowControl/>
                    <w:jc w:val="center"/>
                    <w:textAlignment w:val="center"/>
                    <w:rPr>
                      <w:rFonts w:ascii="Times New Roman" w:hAnsi="Times New Roman" w:eastAsia="宋体" w:cs="Times New Roman"/>
                      <w:b/>
                      <w:bCs/>
                      <w:color w:val="000000"/>
                      <w:kern w:val="0"/>
                      <w:szCs w:val="21"/>
                      <w:lang w:bidi="ar"/>
                    </w:rPr>
                  </w:pPr>
                  <w:r>
                    <w:rPr>
                      <w:rFonts w:ascii="Times New Roman" w:hAnsi="Times New Roman" w:eastAsia="宋体" w:cs="Times New Roman"/>
                      <w:b/>
                      <w:bCs/>
                      <w:color w:val="000000"/>
                      <w:kern w:val="0"/>
                      <w:szCs w:val="21"/>
                      <w:lang w:bidi="ar"/>
                    </w:rPr>
                    <w:t>0.14</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0" w:type="auto"/>
                  <w:gridSpan w:val="4"/>
                  <w:shd w:val="clear" w:color="auto" w:fill="FFFFFF" w:themeFill="background1"/>
                  <w:vAlign w:val="center"/>
                </w:tcPr>
                <w:p>
                  <w:pPr>
                    <w:jc w:val="center"/>
                    <w:rPr>
                      <w:rFonts w:ascii="Times New Roman" w:hAnsi="Times New Roman" w:eastAsia="宋体" w:cs="Times New Roman"/>
                      <w:b/>
                      <w:color w:val="000000"/>
                      <w:szCs w:val="21"/>
                    </w:rPr>
                  </w:pPr>
                  <w:r>
                    <w:rPr>
                      <w:rFonts w:ascii="Times New Roman" w:hAnsi="Times New Roman" w:eastAsia="宋体" w:cs="Times New Roman"/>
                      <w:b/>
                      <w:kern w:val="0"/>
                      <w:szCs w:val="21"/>
                    </w:rPr>
                    <w:t>标准限</w:t>
                  </w:r>
                  <w:r>
                    <w:rPr>
                      <w:rFonts w:ascii="Times New Roman" w:hAnsi="Times New Roman" w:eastAsia="宋体" w:cs="Times New Roman"/>
                      <w:b/>
                      <w:bCs/>
                      <w:kern w:val="0"/>
                      <w:szCs w:val="21"/>
                    </w:rPr>
                    <w:t>值</w:t>
                  </w:r>
                </w:p>
              </w:tc>
              <w:tc>
                <w:tcPr>
                  <w:tcW w:w="851" w:type="dxa"/>
                  <w:shd w:val="clear" w:color="auto" w:fill="FFFFFF" w:themeFill="background1"/>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6~9</w:t>
                  </w:r>
                </w:p>
              </w:tc>
              <w:tc>
                <w:tcPr>
                  <w:tcW w:w="698" w:type="dxa"/>
                  <w:shd w:val="clear" w:color="auto" w:fill="FFFFFF" w:themeFill="background1"/>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500</w:t>
                  </w:r>
                </w:p>
              </w:tc>
              <w:tc>
                <w:tcPr>
                  <w:tcW w:w="674" w:type="dxa"/>
                  <w:shd w:val="clear" w:color="auto" w:fill="FFFFFF" w:themeFill="background1"/>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45</w:t>
                  </w:r>
                </w:p>
              </w:tc>
              <w:tc>
                <w:tcPr>
                  <w:tcW w:w="738" w:type="dxa"/>
                  <w:shd w:val="clear" w:color="auto" w:fill="FFFFFF" w:themeFill="background1"/>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400</w:t>
                  </w:r>
                </w:p>
              </w:tc>
              <w:tc>
                <w:tcPr>
                  <w:tcW w:w="704" w:type="dxa"/>
                  <w:shd w:val="clear" w:color="auto" w:fill="FFFFFF" w:themeFill="background1"/>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20</w:t>
                  </w:r>
                </w:p>
              </w:tc>
              <w:tc>
                <w:tcPr>
                  <w:tcW w:w="774" w:type="dxa"/>
                  <w:shd w:val="clear" w:color="auto" w:fill="FFFFFF" w:themeFill="background1"/>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8</w:t>
                  </w:r>
                </w:p>
              </w:tc>
              <w:tc>
                <w:tcPr>
                  <w:tcW w:w="927" w:type="dxa"/>
                  <w:shd w:val="clear" w:color="auto" w:fill="FFFFFF" w:themeFill="background1"/>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20</w:t>
                  </w:r>
                </w:p>
              </w:tc>
              <w:tc>
                <w:tcPr>
                  <w:tcW w:w="984" w:type="dxa"/>
                  <w:shd w:val="clear" w:color="auto" w:fill="FFFFFF" w:themeFill="background1"/>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5</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 w:hRule="atLeast"/>
                <w:jc w:val="center"/>
              </w:trPr>
              <w:tc>
                <w:tcPr>
                  <w:tcW w:w="0" w:type="auto"/>
                  <w:gridSpan w:val="4"/>
                  <w:shd w:val="clear" w:color="auto" w:fill="FFFFFF" w:themeFill="background1"/>
                  <w:vAlign w:val="center"/>
                </w:tcPr>
                <w:p>
                  <w:pPr>
                    <w:jc w:val="center"/>
                    <w:rPr>
                      <w:rFonts w:ascii="Times New Roman" w:hAnsi="Times New Roman" w:eastAsia="宋体" w:cs="Times New Roman"/>
                      <w:b/>
                      <w:kern w:val="0"/>
                      <w:szCs w:val="21"/>
                    </w:rPr>
                  </w:pPr>
                  <w:r>
                    <w:rPr>
                      <w:rFonts w:ascii="Times New Roman" w:hAnsi="Times New Roman" w:eastAsia="宋体" w:cs="Times New Roman"/>
                      <w:b/>
                      <w:kern w:val="0"/>
                      <w:szCs w:val="21"/>
                    </w:rPr>
                    <w:t>达标情况</w:t>
                  </w:r>
                </w:p>
              </w:tc>
              <w:tc>
                <w:tcPr>
                  <w:tcW w:w="851" w:type="dxa"/>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达标</w:t>
                  </w:r>
                </w:p>
              </w:tc>
              <w:tc>
                <w:tcPr>
                  <w:tcW w:w="698" w:type="dxa"/>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达标</w:t>
                  </w:r>
                </w:p>
              </w:tc>
              <w:tc>
                <w:tcPr>
                  <w:tcW w:w="674" w:type="dxa"/>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达标</w:t>
                  </w:r>
                </w:p>
              </w:tc>
              <w:tc>
                <w:tcPr>
                  <w:tcW w:w="738" w:type="dxa"/>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达标</w:t>
                  </w:r>
                </w:p>
              </w:tc>
              <w:tc>
                <w:tcPr>
                  <w:tcW w:w="704" w:type="dxa"/>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达标</w:t>
                  </w:r>
                </w:p>
              </w:tc>
              <w:tc>
                <w:tcPr>
                  <w:tcW w:w="774" w:type="dxa"/>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达标</w:t>
                  </w:r>
                </w:p>
              </w:tc>
              <w:tc>
                <w:tcPr>
                  <w:tcW w:w="927" w:type="dxa"/>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达标</w:t>
                  </w:r>
                </w:p>
              </w:tc>
              <w:tc>
                <w:tcPr>
                  <w:tcW w:w="984" w:type="dxa"/>
                  <w:shd w:val="clear" w:color="auto" w:fill="FFFFFF" w:themeFill="background1"/>
                  <w:vAlign w:val="center"/>
                </w:tcPr>
                <w:p>
                  <w:pPr>
                    <w:jc w:val="center"/>
                    <w:rPr>
                      <w:rFonts w:ascii="Times New Roman" w:hAnsi="Times New Roman" w:eastAsia="宋体" w:cs="Times New Roman"/>
                      <w:b/>
                      <w:bCs/>
                      <w:color w:val="000000"/>
                      <w:kern w:val="0"/>
                      <w:szCs w:val="21"/>
                    </w:rPr>
                  </w:pPr>
                  <w:r>
                    <w:rPr>
                      <w:rFonts w:ascii="Times New Roman" w:hAnsi="Times New Roman" w:eastAsia="宋体" w:cs="Times New Roman"/>
                      <w:b/>
                      <w:bCs/>
                      <w:color w:val="000000"/>
                      <w:kern w:val="0"/>
                      <w:szCs w:val="21"/>
                    </w:rPr>
                    <w:t>达标</w:t>
                  </w:r>
                </w:p>
              </w:tc>
            </w:tr>
          </w:tbl>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表7</w:t>
            </w:r>
            <w:r>
              <w:rPr>
                <w:rFonts w:ascii="Times New Roman" w:hAnsi="Times New Roman" w:eastAsia="宋体" w:cs="Times New Roman"/>
                <w:sz w:val="24"/>
              </w:rPr>
              <w:t>-3</w:t>
            </w:r>
            <w:r>
              <w:rPr>
                <w:rFonts w:hint="eastAsia" w:ascii="Times New Roman" w:hAnsi="Times New Roman" w:eastAsia="宋体" w:cs="Times New Roman"/>
                <w:sz w:val="24"/>
              </w:rPr>
              <w:t>废水监测结果表明：</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sym w:font="Wingdings" w:char="F076"/>
            </w:r>
            <w:r>
              <w:rPr>
                <w:rFonts w:ascii="Times New Roman" w:hAnsi="Times New Roman" w:eastAsia="宋体" w:cs="Times New Roman"/>
                <w:sz w:val="24"/>
              </w:rPr>
              <w:t xml:space="preserve"> </w:t>
            </w:r>
            <w:r>
              <w:rPr>
                <w:rFonts w:hint="eastAsia" w:ascii="Times New Roman" w:hAnsi="Times New Roman" w:eastAsia="宋体" w:cs="Times New Roman"/>
                <w:sz w:val="24"/>
              </w:rPr>
              <w:t>废水污染物中pH值的最大日均值为</w:t>
            </w:r>
            <w:r>
              <w:rPr>
                <w:rFonts w:ascii="Times New Roman" w:hAnsi="Times New Roman" w:eastAsia="宋体" w:cs="Times New Roman"/>
                <w:sz w:val="24"/>
              </w:rPr>
              <w:t>7.4</w:t>
            </w:r>
            <w:r>
              <w:rPr>
                <w:rFonts w:hint="eastAsia" w:ascii="Times New Roman" w:hAnsi="Times New Roman" w:eastAsia="宋体" w:cs="Times New Roman"/>
                <w:sz w:val="24"/>
              </w:rPr>
              <w:t>，化学需氧量的最大日均值为1</w:t>
            </w:r>
            <w:r>
              <w:rPr>
                <w:rFonts w:ascii="Times New Roman" w:hAnsi="Times New Roman" w:eastAsia="宋体" w:cs="Times New Roman"/>
                <w:sz w:val="24"/>
              </w:rPr>
              <w:t>73</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，悬浮物的最大日均值为</w:t>
            </w:r>
            <w:r>
              <w:rPr>
                <w:rFonts w:ascii="Times New Roman" w:hAnsi="Times New Roman" w:eastAsia="宋体" w:cs="Times New Roman"/>
                <w:sz w:val="24"/>
              </w:rPr>
              <w:t>21</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，均满足污水处理厂的接管协议及《污水综合排放标准》（G</w:t>
            </w:r>
            <w:r>
              <w:rPr>
                <w:rFonts w:ascii="Times New Roman" w:hAnsi="Times New Roman" w:eastAsia="宋体" w:cs="Times New Roman"/>
                <w:sz w:val="24"/>
              </w:rPr>
              <w:t>B8978-1996</w:t>
            </w:r>
            <w:r>
              <w:rPr>
                <w:rFonts w:hint="eastAsia" w:ascii="Times New Roman" w:hAnsi="Times New Roman" w:eastAsia="宋体" w:cs="Times New Roman"/>
                <w:sz w:val="24"/>
              </w:rPr>
              <w:t>）中三级标准，氨氮的最大日均值为6</w:t>
            </w:r>
            <w:r>
              <w:rPr>
                <w:rFonts w:ascii="Times New Roman" w:hAnsi="Times New Roman" w:eastAsia="宋体" w:cs="Times New Roman"/>
                <w:sz w:val="24"/>
              </w:rPr>
              <w:t>.85</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，总磷的最大日均值为3</w:t>
            </w:r>
            <w:r>
              <w:rPr>
                <w:rFonts w:ascii="Times New Roman" w:hAnsi="Times New Roman" w:eastAsia="宋体" w:cs="Times New Roman"/>
                <w:sz w:val="24"/>
              </w:rPr>
              <w:t>.11</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，石油类的最大日均值为0</w:t>
            </w:r>
            <w:r>
              <w:rPr>
                <w:rFonts w:ascii="Times New Roman" w:hAnsi="Times New Roman" w:eastAsia="宋体" w:cs="Times New Roman"/>
                <w:sz w:val="24"/>
              </w:rPr>
              <w:t>.07</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，阴离子表面活性剂的最大日均值为</w:t>
            </w:r>
            <w:r>
              <w:rPr>
                <w:rFonts w:ascii="Times New Roman" w:hAnsi="Times New Roman" w:eastAsia="宋体" w:cs="Times New Roman"/>
                <w:sz w:val="24"/>
              </w:rPr>
              <w:t>3.94</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，锌的最大日均值为</w:t>
            </w:r>
            <w:r>
              <w:rPr>
                <w:rFonts w:ascii="Times New Roman" w:hAnsi="Times New Roman" w:eastAsia="宋体" w:cs="Times New Roman"/>
                <w:sz w:val="24"/>
              </w:rPr>
              <w:t>0.14</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，均满足《污水综合排放标准》（</w:t>
            </w:r>
            <w:r>
              <w:rPr>
                <w:rFonts w:ascii="Times New Roman" w:hAnsi="Times New Roman" w:eastAsia="宋体" w:cs="Times New Roman"/>
                <w:sz w:val="24"/>
              </w:rPr>
              <w:t>GB8978-1996）中三级标准和《污水排入城镇下水道水质标准》（GB/T31962-2015）中B级标准及污水厂接管标准</w:t>
            </w:r>
            <w:r>
              <w:rPr>
                <w:rFonts w:hint="eastAsia" w:ascii="Times New Roman" w:hAnsi="Times New Roman" w:eastAsia="仿宋_GB2312" w:cs="Times New Roman"/>
              </w:rPr>
              <w:t>。</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根据表7-3进口、出口的最大值分析，各污染物处理效率能满足相关标准，废水各污染物处理情况见表7-4。</w:t>
            </w:r>
          </w:p>
          <w:p>
            <w:pPr>
              <w:spacing w:line="360" w:lineRule="auto"/>
              <w:jc w:val="center"/>
              <w:rPr>
                <w:rFonts w:ascii="Times New Roman" w:hAnsi="Times New Roman" w:eastAsia="宋体" w:cs="Times New Roman"/>
                <w:b/>
                <w:bCs/>
                <w:sz w:val="24"/>
              </w:rPr>
            </w:pPr>
            <w:r>
              <w:rPr>
                <w:rFonts w:ascii="Times New Roman" w:hAnsi="Times New Roman" w:eastAsia="宋体" w:cs="Times New Roman"/>
                <w:b/>
                <w:bCs/>
                <w:sz w:val="24"/>
              </w:rPr>
              <w:t>表7-4 废水处理效率一览表（单位：mg/L，pH值：无量纲）</w:t>
            </w:r>
          </w:p>
          <w:tbl>
            <w:tblPr>
              <w:tblStyle w:val="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64"/>
              <w:gridCol w:w="882"/>
              <w:gridCol w:w="1018"/>
              <w:gridCol w:w="882"/>
              <w:gridCol w:w="722"/>
              <w:gridCol w:w="1241"/>
              <w:gridCol w:w="905"/>
              <w:gridCol w:w="896"/>
              <w:gridCol w:w="9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9" w:type="pct"/>
                  <w:shd w:val="clear" w:color="auto" w:fill="FFFFFF" w:themeFill="background1"/>
                  <w:vAlign w:val="center"/>
                </w:tcPr>
                <w:p>
                  <w:pPr>
                    <w:numPr>
                      <w:ilvl w:val="12"/>
                      <w:numId w:val="0"/>
                    </w:num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点位</w:t>
                  </w:r>
                </w:p>
              </w:tc>
              <w:tc>
                <w:tcPr>
                  <w:tcW w:w="502" w:type="pct"/>
                  <w:tcBorders>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pH值</w:t>
                  </w:r>
                </w:p>
              </w:tc>
              <w:tc>
                <w:tcPr>
                  <w:tcW w:w="579" w:type="pct"/>
                  <w:tcBorders>
                    <w:left w:val="single" w:color="auto" w:sz="4" w:space="0"/>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化学需氧量</w:t>
                  </w:r>
                </w:p>
              </w:tc>
              <w:tc>
                <w:tcPr>
                  <w:tcW w:w="502" w:type="pct"/>
                  <w:tcBorders>
                    <w:left w:val="single" w:color="auto" w:sz="4" w:space="0"/>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氨氮</w:t>
                  </w:r>
                </w:p>
              </w:tc>
              <w:tc>
                <w:tcPr>
                  <w:tcW w:w="411" w:type="pct"/>
                  <w:tcBorders>
                    <w:left w:val="single" w:color="auto" w:sz="4" w:space="0"/>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悬浮物</w:t>
                  </w:r>
                </w:p>
              </w:tc>
              <w:tc>
                <w:tcPr>
                  <w:tcW w:w="706" w:type="pct"/>
                  <w:tcBorders>
                    <w:left w:val="single" w:color="auto" w:sz="4" w:space="0"/>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b/>
                      <w:bCs/>
                      <w:kern w:val="0"/>
                      <w:szCs w:val="21"/>
                    </w:rPr>
                  </w:pPr>
                  <w:r>
                    <w:rPr>
                      <w:rFonts w:ascii="Times New Roman" w:hAnsi="Times New Roman" w:eastAsia="宋体" w:cs="Times New Roman"/>
                      <w:b/>
                      <w:bCs/>
                      <w:color w:val="000000"/>
                      <w:kern w:val="0"/>
                      <w:szCs w:val="21"/>
                    </w:rPr>
                    <w:t>石油类</w:t>
                  </w:r>
                </w:p>
              </w:tc>
              <w:tc>
                <w:tcPr>
                  <w:tcW w:w="515" w:type="pct"/>
                  <w:tcBorders>
                    <w:left w:val="single" w:color="auto" w:sz="4" w:space="0"/>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b/>
                      <w:bCs/>
                      <w:kern w:val="0"/>
                      <w:szCs w:val="21"/>
                    </w:rPr>
                  </w:pPr>
                  <w:r>
                    <w:rPr>
                      <w:rFonts w:ascii="Times New Roman" w:hAnsi="Times New Roman" w:eastAsia="宋体" w:cs="Times New Roman"/>
                      <w:b/>
                      <w:bCs/>
                      <w:color w:val="000000"/>
                      <w:kern w:val="0"/>
                      <w:szCs w:val="21"/>
                    </w:rPr>
                    <w:t>总磷</w:t>
                  </w:r>
                </w:p>
              </w:tc>
              <w:tc>
                <w:tcPr>
                  <w:tcW w:w="510" w:type="pct"/>
                  <w:tcBorders>
                    <w:left w:val="single" w:color="auto" w:sz="4" w:space="0"/>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b/>
                      <w:bCs/>
                      <w:kern w:val="0"/>
                      <w:szCs w:val="21"/>
                    </w:rPr>
                  </w:pPr>
                  <w:r>
                    <w:rPr>
                      <w:rFonts w:ascii="Times New Roman" w:hAnsi="Times New Roman" w:eastAsia="宋体" w:cs="Times New Roman"/>
                      <w:b/>
                      <w:bCs/>
                      <w:color w:val="000000"/>
                      <w:kern w:val="0"/>
                      <w:szCs w:val="21"/>
                    </w:rPr>
                    <w:t>阴离子表面活性剂</w:t>
                  </w:r>
                </w:p>
              </w:tc>
              <w:tc>
                <w:tcPr>
                  <w:tcW w:w="557" w:type="pct"/>
                  <w:tcBorders>
                    <w:left w:val="single" w:color="auto" w:sz="4" w:space="0"/>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总锌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719" w:type="pct"/>
                  <w:tcBorders>
                    <w:bottom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kern w:val="0"/>
                      <w:szCs w:val="21"/>
                    </w:rPr>
                  </w:pPr>
                  <w:r>
                    <w:rPr>
                      <w:rFonts w:ascii="Times New Roman" w:hAnsi="Times New Roman" w:eastAsia="宋体" w:cs="Times New Roman"/>
                      <w:kern w:val="0"/>
                      <w:szCs w:val="21"/>
                    </w:rPr>
                    <w:t>进口最大值</w:t>
                  </w:r>
                </w:p>
              </w:tc>
              <w:tc>
                <w:tcPr>
                  <w:tcW w:w="502" w:type="pct"/>
                  <w:tcBorders>
                    <w:bottom w:val="single" w:color="auto" w:sz="4" w:space="0"/>
                    <w:right w:val="single" w:color="auto" w:sz="4" w:space="0"/>
                  </w:tcBorders>
                  <w:shd w:val="clear" w:color="auto" w:fill="FFFFFF" w:themeFill="background1"/>
                  <w:vAlign w:val="center"/>
                </w:tcPr>
                <w:p>
                  <w:pPr>
                    <w:jc w:val="center"/>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2.5~2.8</w:t>
                  </w:r>
                </w:p>
              </w:tc>
              <w:tc>
                <w:tcPr>
                  <w:tcW w:w="579" w:type="pct"/>
                  <w:tcBorders>
                    <w:left w:val="single" w:color="auto" w:sz="4" w:space="0"/>
                  </w:tcBorders>
                  <w:shd w:val="clear" w:color="auto" w:fill="FFFFFF" w:themeFill="background1"/>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366</w:t>
                  </w:r>
                </w:p>
              </w:tc>
              <w:tc>
                <w:tcPr>
                  <w:tcW w:w="502" w:type="pct"/>
                  <w:shd w:val="clear" w:color="auto" w:fill="FFFFFF" w:themeFill="background1"/>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18.8</w:t>
                  </w:r>
                </w:p>
              </w:tc>
              <w:tc>
                <w:tcPr>
                  <w:tcW w:w="411" w:type="pct"/>
                  <w:shd w:val="clear" w:color="auto" w:fill="FFFFFF" w:themeFill="background1"/>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276</w:t>
                  </w:r>
                </w:p>
              </w:tc>
              <w:tc>
                <w:tcPr>
                  <w:tcW w:w="706" w:type="pct"/>
                  <w:shd w:val="clear" w:color="auto" w:fill="FFFFFF" w:themeFill="background1"/>
                  <w:vAlign w:val="center"/>
                </w:tcPr>
                <w:p>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0.10</w:t>
                  </w:r>
                </w:p>
              </w:tc>
              <w:tc>
                <w:tcPr>
                  <w:tcW w:w="515" w:type="pct"/>
                  <w:shd w:val="clear" w:color="auto" w:fill="FFFFFF" w:themeFill="background1"/>
                  <w:vAlign w:val="center"/>
                </w:tcPr>
                <w:p>
                  <w:pPr>
                    <w:widowControl/>
                    <w:jc w:val="center"/>
                    <w:textAlignment w:val="center"/>
                    <w:rPr>
                      <w:rFonts w:ascii="Times New Roman" w:hAnsi="Times New Roman" w:eastAsia="宋体" w:cs="Times New Roman"/>
                      <w:kern w:val="0"/>
                      <w:szCs w:val="21"/>
                      <w:lang w:bidi="ar"/>
                    </w:rPr>
                  </w:pPr>
                  <w:r>
                    <w:rPr>
                      <w:rFonts w:ascii="Times New Roman" w:hAnsi="Times New Roman" w:eastAsia="宋体" w:cs="Times New Roman"/>
                      <w:kern w:val="0"/>
                      <w:szCs w:val="21"/>
                      <w:lang w:bidi="ar"/>
                    </w:rPr>
                    <w:t>256</w:t>
                  </w:r>
                </w:p>
              </w:tc>
              <w:tc>
                <w:tcPr>
                  <w:tcW w:w="510" w:type="pct"/>
                  <w:shd w:val="clear" w:color="auto" w:fill="FFFFFF" w:themeFill="background1"/>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22.7</w:t>
                  </w:r>
                </w:p>
              </w:tc>
              <w:tc>
                <w:tcPr>
                  <w:tcW w:w="557" w:type="pct"/>
                  <w:shd w:val="clear" w:color="auto" w:fill="FFFFFF" w:themeFill="background1"/>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719" w:type="pct"/>
                  <w:tcBorders>
                    <w:top w:val="single" w:color="auto" w:sz="4" w:space="0"/>
                    <w:bottom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kern w:val="0"/>
                      <w:szCs w:val="21"/>
                    </w:rPr>
                  </w:pPr>
                  <w:r>
                    <w:rPr>
                      <w:rFonts w:ascii="Times New Roman" w:hAnsi="Times New Roman" w:eastAsia="宋体" w:cs="Times New Roman"/>
                      <w:kern w:val="0"/>
                      <w:szCs w:val="21"/>
                    </w:rPr>
                    <w:t>出口最大值</w:t>
                  </w:r>
                </w:p>
              </w:tc>
              <w:tc>
                <w:tcPr>
                  <w:tcW w:w="502" w:type="pct"/>
                  <w:tcBorders>
                    <w:top w:val="single" w:color="auto" w:sz="4" w:space="0"/>
                    <w:bottom w:val="single" w:color="auto" w:sz="4" w:space="0"/>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7.4</w:t>
                  </w:r>
                </w:p>
              </w:tc>
              <w:tc>
                <w:tcPr>
                  <w:tcW w:w="579" w:type="pct"/>
                  <w:tcBorders>
                    <w:left w:val="single" w:color="auto" w:sz="4" w:space="0"/>
                    <w:bottom w:val="single" w:color="auto" w:sz="4" w:space="0"/>
                  </w:tcBorders>
                  <w:shd w:val="clear" w:color="auto" w:fill="FFFFFF" w:themeFill="background1"/>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173</w:t>
                  </w:r>
                </w:p>
              </w:tc>
              <w:tc>
                <w:tcPr>
                  <w:tcW w:w="502" w:type="pct"/>
                  <w:tcBorders>
                    <w:bottom w:val="single" w:color="auto" w:sz="4" w:space="0"/>
                  </w:tcBorders>
                  <w:shd w:val="clear" w:color="auto" w:fill="FFFFFF" w:themeFill="background1"/>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6.85</w:t>
                  </w:r>
                </w:p>
              </w:tc>
              <w:tc>
                <w:tcPr>
                  <w:tcW w:w="411" w:type="pct"/>
                  <w:tcBorders>
                    <w:bottom w:val="single" w:color="auto" w:sz="4" w:space="0"/>
                  </w:tcBorders>
                  <w:shd w:val="clear" w:color="auto" w:fill="FFFFFF" w:themeFill="background1"/>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21</w:t>
                  </w:r>
                </w:p>
              </w:tc>
              <w:tc>
                <w:tcPr>
                  <w:tcW w:w="706" w:type="pct"/>
                  <w:tcBorders>
                    <w:bottom w:val="single" w:color="auto" w:sz="4" w:space="0"/>
                  </w:tcBorders>
                  <w:shd w:val="clear" w:color="auto" w:fill="FFFFFF" w:themeFill="background1"/>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0.07</w:t>
                  </w:r>
                </w:p>
              </w:tc>
              <w:tc>
                <w:tcPr>
                  <w:tcW w:w="515" w:type="pct"/>
                  <w:tcBorders>
                    <w:bottom w:val="single" w:color="auto" w:sz="4" w:space="0"/>
                  </w:tcBorders>
                  <w:shd w:val="clear" w:color="auto" w:fill="FFFFFF" w:themeFill="background1"/>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3.11</w:t>
                  </w:r>
                </w:p>
              </w:tc>
              <w:tc>
                <w:tcPr>
                  <w:tcW w:w="510" w:type="pct"/>
                  <w:tcBorders>
                    <w:bottom w:val="single" w:color="auto" w:sz="4" w:space="0"/>
                  </w:tcBorders>
                  <w:shd w:val="clear" w:color="auto" w:fill="FFFFFF" w:themeFill="background1"/>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3.94</w:t>
                  </w:r>
                </w:p>
              </w:tc>
              <w:tc>
                <w:tcPr>
                  <w:tcW w:w="557" w:type="pct"/>
                  <w:tcBorders>
                    <w:bottom w:val="single" w:color="auto" w:sz="4" w:space="0"/>
                  </w:tcBorders>
                  <w:shd w:val="clear" w:color="auto" w:fill="FFFFFF" w:themeFill="background1"/>
                  <w:vAlign w:val="center"/>
                </w:tcPr>
                <w:p>
                  <w:pPr>
                    <w:widowControl/>
                    <w:jc w:val="center"/>
                    <w:textAlignment w:val="center"/>
                    <w:rPr>
                      <w:rFonts w:ascii="Times New Roman" w:hAnsi="Times New Roman" w:eastAsia="宋体" w:cs="Times New Roman"/>
                      <w:color w:val="000000"/>
                      <w:kern w:val="0"/>
                      <w:szCs w:val="21"/>
                      <w:lang w:bidi="ar"/>
                    </w:rPr>
                  </w:pPr>
                  <w:r>
                    <w:rPr>
                      <w:rFonts w:ascii="Times New Roman" w:hAnsi="Times New Roman" w:eastAsia="宋体" w:cs="Times New Roman"/>
                      <w:color w:val="000000"/>
                      <w:kern w:val="0"/>
                      <w:szCs w:val="21"/>
                      <w:lang w:bidi="ar"/>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jc w:val="center"/>
              </w:trPr>
              <w:tc>
                <w:tcPr>
                  <w:tcW w:w="719" w:type="pct"/>
                  <w:tcBorders>
                    <w:top w:val="single" w:color="auto" w:sz="4" w:space="0"/>
                    <w:bottom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kern w:val="0"/>
                      <w:szCs w:val="21"/>
                    </w:rPr>
                  </w:pPr>
                  <w:r>
                    <w:rPr>
                      <w:rFonts w:ascii="Times New Roman" w:hAnsi="Times New Roman" w:eastAsia="宋体" w:cs="Times New Roman"/>
                      <w:kern w:val="0"/>
                      <w:szCs w:val="21"/>
                    </w:rPr>
                    <w:t>处理效率（%）</w:t>
                  </w:r>
                </w:p>
              </w:tc>
              <w:tc>
                <w:tcPr>
                  <w:tcW w:w="502" w:type="pct"/>
                  <w:tcBorders>
                    <w:top w:val="single" w:color="auto" w:sz="4" w:space="0"/>
                    <w:bottom w:val="single" w:color="auto" w:sz="4" w:space="0"/>
                    <w:right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kern w:val="0"/>
                      <w:szCs w:val="21"/>
                    </w:rPr>
                  </w:pPr>
                  <w:r>
                    <w:rPr>
                      <w:rFonts w:ascii="Times New Roman" w:hAnsi="Times New Roman" w:eastAsia="宋体" w:cs="Times New Roman"/>
                      <w:kern w:val="0"/>
                      <w:szCs w:val="21"/>
                    </w:rPr>
                    <w:t>/</w:t>
                  </w:r>
                </w:p>
              </w:tc>
              <w:tc>
                <w:tcPr>
                  <w:tcW w:w="579" w:type="pct"/>
                  <w:tcBorders>
                    <w:left w:val="single" w:color="auto" w:sz="4" w:space="0"/>
                    <w:bottom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kern w:val="0"/>
                      <w:szCs w:val="21"/>
                    </w:rPr>
                  </w:pPr>
                  <w:r>
                    <w:rPr>
                      <w:rFonts w:ascii="Times New Roman" w:hAnsi="Times New Roman" w:eastAsia="宋体" w:cs="Times New Roman"/>
                      <w:kern w:val="0"/>
                      <w:szCs w:val="21"/>
                    </w:rPr>
                    <w:t>52.73</w:t>
                  </w:r>
                </w:p>
              </w:tc>
              <w:tc>
                <w:tcPr>
                  <w:tcW w:w="502" w:type="pct"/>
                  <w:tcBorders>
                    <w:bottom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kern w:val="0"/>
                      <w:szCs w:val="21"/>
                    </w:rPr>
                  </w:pPr>
                  <w:r>
                    <w:rPr>
                      <w:rFonts w:ascii="Times New Roman" w:hAnsi="Times New Roman" w:eastAsia="宋体" w:cs="Times New Roman"/>
                      <w:kern w:val="0"/>
                      <w:szCs w:val="21"/>
                    </w:rPr>
                    <w:t>63.56</w:t>
                  </w:r>
                </w:p>
              </w:tc>
              <w:tc>
                <w:tcPr>
                  <w:tcW w:w="411" w:type="pct"/>
                  <w:tcBorders>
                    <w:bottom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kern w:val="0"/>
                      <w:szCs w:val="21"/>
                    </w:rPr>
                  </w:pPr>
                  <w:r>
                    <w:rPr>
                      <w:rFonts w:ascii="Times New Roman" w:hAnsi="Times New Roman" w:eastAsia="宋体" w:cs="Times New Roman"/>
                      <w:kern w:val="0"/>
                      <w:szCs w:val="21"/>
                    </w:rPr>
                    <w:t>92.39</w:t>
                  </w:r>
                </w:p>
              </w:tc>
              <w:tc>
                <w:tcPr>
                  <w:tcW w:w="706" w:type="pct"/>
                  <w:tcBorders>
                    <w:bottom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515" w:type="pct"/>
                  <w:tcBorders>
                    <w:bottom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kern w:val="0"/>
                      <w:szCs w:val="21"/>
                    </w:rPr>
                  </w:pPr>
                  <w:r>
                    <w:rPr>
                      <w:rFonts w:ascii="Times New Roman" w:hAnsi="Times New Roman" w:eastAsia="宋体" w:cs="Times New Roman"/>
                      <w:kern w:val="0"/>
                      <w:szCs w:val="21"/>
                    </w:rPr>
                    <w:t>98.79</w:t>
                  </w:r>
                </w:p>
              </w:tc>
              <w:tc>
                <w:tcPr>
                  <w:tcW w:w="510" w:type="pct"/>
                  <w:tcBorders>
                    <w:bottom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kern w:val="0"/>
                      <w:szCs w:val="21"/>
                    </w:rPr>
                  </w:pPr>
                  <w:r>
                    <w:rPr>
                      <w:rFonts w:ascii="Times New Roman" w:hAnsi="Times New Roman" w:eastAsia="宋体" w:cs="Times New Roman"/>
                      <w:kern w:val="0"/>
                      <w:szCs w:val="21"/>
                    </w:rPr>
                    <w:t>82.64</w:t>
                  </w:r>
                </w:p>
              </w:tc>
              <w:tc>
                <w:tcPr>
                  <w:tcW w:w="557" w:type="pct"/>
                  <w:tcBorders>
                    <w:bottom w:val="single" w:color="auto" w:sz="4" w:space="0"/>
                  </w:tcBorders>
                  <w:shd w:val="clear" w:color="auto" w:fill="FFFFFF" w:themeFill="background1"/>
                  <w:vAlign w:val="center"/>
                </w:tcPr>
                <w:p>
                  <w:pPr>
                    <w:numPr>
                      <w:ilvl w:val="12"/>
                      <w:numId w:val="0"/>
                    </w:numPr>
                    <w:jc w:val="center"/>
                    <w:rPr>
                      <w:rFonts w:ascii="Times New Roman" w:hAnsi="Times New Roman" w:eastAsia="宋体" w:cs="Times New Roman"/>
                      <w:kern w:val="0"/>
                      <w:szCs w:val="21"/>
                    </w:rPr>
                  </w:pPr>
                  <w:r>
                    <w:rPr>
                      <w:rFonts w:ascii="Times New Roman" w:hAnsi="Times New Roman" w:eastAsia="宋体" w:cs="Times New Roman"/>
                      <w:kern w:val="0"/>
                      <w:szCs w:val="21"/>
                    </w:rPr>
                    <w:t>99.49</w:t>
                  </w:r>
                </w:p>
              </w:tc>
            </w:tr>
          </w:tbl>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三、有组织废气监测结果：</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sym w:font="Wingdings" w:char="F076"/>
            </w:r>
            <w:r>
              <w:rPr>
                <w:rFonts w:hint="eastAsia" w:ascii="Times New Roman" w:hAnsi="Times New Roman" w:eastAsia="宋体" w:cs="Times New Roman"/>
                <w:sz w:val="24"/>
              </w:rPr>
              <w:t xml:space="preserve"> 监测日期为：2</w:t>
            </w:r>
            <w:r>
              <w:rPr>
                <w:rFonts w:ascii="Times New Roman" w:hAnsi="Times New Roman" w:eastAsia="宋体" w:cs="Times New Roman"/>
                <w:sz w:val="24"/>
              </w:rPr>
              <w:t>022</w:t>
            </w:r>
            <w:r>
              <w:rPr>
                <w:rFonts w:hint="eastAsia" w:ascii="Times New Roman" w:hAnsi="Times New Roman" w:eastAsia="宋体" w:cs="Times New Roman"/>
                <w:sz w:val="24"/>
              </w:rPr>
              <w:t>年</w:t>
            </w:r>
            <w:r>
              <w:rPr>
                <w:rFonts w:ascii="Times New Roman" w:hAnsi="Times New Roman" w:eastAsia="宋体" w:cs="Times New Roman"/>
                <w:sz w:val="24"/>
              </w:rPr>
              <w:t>8</w:t>
            </w:r>
            <w:r>
              <w:rPr>
                <w:rFonts w:hint="eastAsia" w:ascii="Times New Roman" w:hAnsi="Times New Roman" w:eastAsia="宋体" w:cs="Times New Roman"/>
                <w:sz w:val="24"/>
              </w:rPr>
              <w:t>月</w:t>
            </w:r>
            <w:r>
              <w:rPr>
                <w:rFonts w:ascii="Times New Roman" w:hAnsi="Times New Roman" w:eastAsia="宋体" w:cs="Times New Roman"/>
                <w:sz w:val="24"/>
              </w:rPr>
              <w:t>31</w:t>
            </w:r>
            <w:r>
              <w:rPr>
                <w:rFonts w:hint="eastAsia" w:ascii="Times New Roman" w:hAnsi="Times New Roman" w:eastAsia="宋体" w:cs="Times New Roman"/>
                <w:sz w:val="24"/>
              </w:rPr>
              <w:t>日-</w:t>
            </w:r>
            <w:r>
              <w:rPr>
                <w:rFonts w:ascii="Times New Roman" w:hAnsi="Times New Roman" w:eastAsia="宋体" w:cs="Times New Roman"/>
                <w:sz w:val="24"/>
              </w:rPr>
              <w:t>2022</w:t>
            </w:r>
            <w:r>
              <w:rPr>
                <w:rFonts w:hint="eastAsia" w:ascii="Times New Roman" w:hAnsi="Times New Roman" w:eastAsia="宋体" w:cs="Times New Roman"/>
                <w:sz w:val="24"/>
              </w:rPr>
              <w:t>年</w:t>
            </w:r>
            <w:r>
              <w:rPr>
                <w:rFonts w:ascii="Times New Roman" w:hAnsi="Times New Roman" w:eastAsia="宋体" w:cs="Times New Roman"/>
                <w:sz w:val="24"/>
              </w:rPr>
              <w:t>9</w:t>
            </w:r>
            <w:r>
              <w:rPr>
                <w:rFonts w:hint="eastAsia" w:ascii="Times New Roman" w:hAnsi="Times New Roman" w:eastAsia="宋体" w:cs="Times New Roman"/>
                <w:sz w:val="24"/>
              </w:rPr>
              <w:t>月</w:t>
            </w:r>
            <w:r>
              <w:rPr>
                <w:rFonts w:ascii="Times New Roman" w:hAnsi="Times New Roman" w:eastAsia="宋体" w:cs="Times New Roman"/>
                <w:sz w:val="24"/>
              </w:rPr>
              <w:t>1</w:t>
            </w:r>
            <w:r>
              <w:rPr>
                <w:rFonts w:hint="eastAsia" w:ascii="Times New Roman" w:hAnsi="Times New Roman" w:eastAsia="宋体" w:cs="Times New Roman"/>
                <w:sz w:val="24"/>
              </w:rPr>
              <w:t>日。</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sym w:font="Wingdings" w:char="F076"/>
            </w:r>
            <w:r>
              <w:rPr>
                <w:rFonts w:ascii="Times New Roman" w:hAnsi="Times New Roman" w:eastAsia="宋体" w:cs="Times New Roman"/>
                <w:sz w:val="24"/>
              </w:rPr>
              <w:t xml:space="preserve"> </w:t>
            </w:r>
            <w:r>
              <w:rPr>
                <w:rFonts w:hint="eastAsia" w:ascii="Times New Roman" w:hAnsi="Times New Roman" w:eastAsia="宋体" w:cs="Times New Roman"/>
                <w:sz w:val="24"/>
              </w:rPr>
              <w:t>考核标准：抛丸、喷砂工段产生的颗粒物执行</w:t>
            </w:r>
            <w:r>
              <w:rPr>
                <w:rFonts w:ascii="Times New Roman" w:hAnsi="Times New Roman" w:eastAsia="宋体" w:cs="Times New Roman"/>
                <w:sz w:val="24"/>
              </w:rPr>
              <w:t>《大气污染物综合排放标准》（DB32/4041-2021）中表1的标准限值</w:t>
            </w:r>
            <w:r>
              <w:rPr>
                <w:rFonts w:hint="eastAsia" w:ascii="Times New Roman" w:hAnsi="Times New Roman" w:eastAsia="宋体" w:cs="Times New Roman"/>
                <w:sz w:val="24"/>
              </w:rPr>
              <w:t>。</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7</w:t>
            </w:r>
            <w:r>
              <w:rPr>
                <w:rFonts w:hint="eastAsia" w:ascii="Times New Roman" w:hAnsi="Times New Roman" w:eastAsia="宋体" w:cs="Times New Roman"/>
                <w:b/>
                <w:bCs/>
                <w:sz w:val="24"/>
              </w:rPr>
              <w:t>-</w:t>
            </w:r>
            <w:r>
              <w:rPr>
                <w:rFonts w:ascii="Times New Roman" w:hAnsi="Times New Roman" w:eastAsia="宋体" w:cs="Times New Roman"/>
                <w:b/>
                <w:bCs/>
                <w:sz w:val="24"/>
              </w:rPr>
              <w:t xml:space="preserve">5  </w:t>
            </w:r>
            <w:r>
              <w:rPr>
                <w:rFonts w:hint="eastAsia" w:ascii="Times New Roman" w:hAnsi="Times New Roman" w:eastAsia="宋体" w:cs="Times New Roman"/>
                <w:b/>
                <w:bCs/>
                <w:sz w:val="24"/>
              </w:rPr>
              <w:t>有组织废气监测结果一览表</w:t>
            </w:r>
          </w:p>
          <w:tbl>
            <w:tblPr>
              <w:tblStyle w:val="16"/>
              <w:tblW w:w="49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7"/>
              <w:gridCol w:w="28"/>
              <w:gridCol w:w="1045"/>
              <w:gridCol w:w="39"/>
              <w:gridCol w:w="1390"/>
              <w:gridCol w:w="56"/>
              <w:gridCol w:w="1055"/>
              <w:gridCol w:w="1699"/>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restart"/>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检测</w:t>
                  </w:r>
                </w:p>
                <w:p>
                  <w:pPr>
                    <w:numPr>
                      <w:ilvl w:val="12"/>
                      <w:numId w:val="0"/>
                    </w:num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themeColor="text1"/>
                      <w:szCs w:val="21"/>
                      <w14:textFill>
                        <w14:solidFill>
                          <w14:schemeClr w14:val="tx1"/>
                        </w14:solidFill>
                      </w14:textFill>
                    </w:rPr>
                    <w:t>点位</w:t>
                  </w:r>
                </w:p>
              </w:tc>
              <w:tc>
                <w:tcPr>
                  <w:tcW w:w="613" w:type="pct"/>
                  <w:gridSpan w:val="2"/>
                  <w:vMerge w:val="restart"/>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检测</w:t>
                  </w:r>
                </w:p>
                <w:p>
                  <w:pPr>
                    <w:numPr>
                      <w:ilvl w:val="12"/>
                      <w:numId w:val="0"/>
                    </w:num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themeColor="text1"/>
                      <w:szCs w:val="21"/>
                      <w14:textFill>
                        <w14:solidFill>
                          <w14:schemeClr w14:val="tx1"/>
                        </w14:solidFill>
                      </w14:textFill>
                    </w:rPr>
                    <w:t>日期</w:t>
                  </w:r>
                </w:p>
              </w:tc>
              <w:tc>
                <w:tcPr>
                  <w:tcW w:w="816" w:type="pct"/>
                  <w:gridSpan w:val="2"/>
                  <w:vMerge w:val="restart"/>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采样频次</w:t>
                  </w:r>
                </w:p>
              </w:tc>
              <w:tc>
                <w:tcPr>
                  <w:tcW w:w="635" w:type="pct"/>
                  <w:gridSpan w:val="2"/>
                  <w:vMerge w:val="restart"/>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标干流量</w:t>
                  </w:r>
                </w:p>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m</w:t>
                  </w:r>
                  <w:r>
                    <w:rPr>
                      <w:rFonts w:ascii="Times New Roman" w:hAnsi="Times New Roman" w:eastAsia="宋体" w:cs="Times New Roman"/>
                      <w:b/>
                      <w:bCs/>
                      <w:color w:val="000000"/>
                      <w:szCs w:val="21"/>
                      <w:vertAlign w:val="superscript"/>
                    </w:rPr>
                    <w:t>3</w:t>
                  </w:r>
                  <w:r>
                    <w:rPr>
                      <w:rFonts w:ascii="Times New Roman" w:hAnsi="Times New Roman" w:eastAsia="宋体" w:cs="Times New Roman"/>
                      <w:b/>
                      <w:bCs/>
                      <w:color w:val="000000"/>
                      <w:szCs w:val="21"/>
                    </w:rPr>
                    <w:t>/h</w:t>
                  </w:r>
                </w:p>
              </w:tc>
              <w:tc>
                <w:tcPr>
                  <w:tcW w:w="1749" w:type="pct"/>
                  <w:gridSpan w:val="2"/>
                  <w:shd w:val="clear" w:color="auto" w:fill="auto"/>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b/>
                      <w:bCs/>
                      <w:color w:val="000000"/>
                      <w:szCs w:val="21"/>
                    </w:rPr>
                  </w:pPr>
                </w:p>
              </w:tc>
              <w:tc>
                <w:tcPr>
                  <w:tcW w:w="613" w:type="pct"/>
                  <w:gridSpan w:val="2"/>
                  <w:vMerge w:val="continue"/>
                  <w:vAlign w:val="center"/>
                </w:tcPr>
                <w:p>
                  <w:pPr>
                    <w:jc w:val="center"/>
                    <w:rPr>
                      <w:rFonts w:ascii="Times New Roman" w:hAnsi="Times New Roman" w:eastAsia="宋体" w:cs="Times New Roman"/>
                      <w:b/>
                      <w:bCs/>
                      <w:color w:val="000000"/>
                      <w:szCs w:val="21"/>
                    </w:rPr>
                  </w:pPr>
                </w:p>
              </w:tc>
              <w:tc>
                <w:tcPr>
                  <w:tcW w:w="816" w:type="pct"/>
                  <w:gridSpan w:val="2"/>
                  <w:vMerge w:val="continue"/>
                  <w:shd w:val="clear" w:color="auto" w:fill="auto"/>
                </w:tcPr>
                <w:p>
                  <w:pPr>
                    <w:jc w:val="center"/>
                    <w:rPr>
                      <w:rFonts w:ascii="Times New Roman" w:hAnsi="Times New Roman" w:eastAsia="宋体" w:cs="Times New Roman"/>
                      <w:b/>
                      <w:bCs/>
                      <w:color w:val="000000"/>
                      <w:szCs w:val="21"/>
                    </w:rPr>
                  </w:pPr>
                </w:p>
              </w:tc>
              <w:tc>
                <w:tcPr>
                  <w:tcW w:w="635" w:type="pct"/>
                  <w:gridSpan w:val="2"/>
                  <w:vMerge w:val="continue"/>
                  <w:shd w:val="clear" w:color="auto" w:fill="auto"/>
                  <w:vAlign w:val="center"/>
                </w:tcPr>
                <w:p>
                  <w:pPr>
                    <w:jc w:val="center"/>
                    <w:rPr>
                      <w:rFonts w:ascii="Times New Roman" w:hAnsi="Times New Roman" w:eastAsia="宋体" w:cs="Times New Roman"/>
                      <w:b/>
                      <w:bCs/>
                      <w:color w:val="000000"/>
                      <w:szCs w:val="21"/>
                    </w:rPr>
                  </w:pPr>
                </w:p>
              </w:tc>
              <w:tc>
                <w:tcPr>
                  <w:tcW w:w="971" w:type="pct"/>
                  <w:shd w:val="clear" w:color="auto" w:fill="auto"/>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排放</w:t>
                  </w:r>
                </w:p>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浓度mg/m</w:t>
                  </w:r>
                  <w:r>
                    <w:rPr>
                      <w:rFonts w:ascii="Times New Roman" w:hAnsi="Times New Roman" w:eastAsia="宋体" w:cs="Times New Roman"/>
                      <w:b/>
                      <w:bCs/>
                      <w:color w:val="000000"/>
                      <w:szCs w:val="21"/>
                      <w:vertAlign w:val="superscript"/>
                    </w:rPr>
                    <w:t>3</w:t>
                  </w:r>
                </w:p>
              </w:tc>
              <w:tc>
                <w:tcPr>
                  <w:tcW w:w="778" w:type="pct"/>
                  <w:shd w:val="clear" w:color="auto" w:fill="auto"/>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排放</w:t>
                  </w:r>
                </w:p>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废气处理设施进口 YQ1</w:t>
                  </w:r>
                </w:p>
              </w:tc>
              <w:tc>
                <w:tcPr>
                  <w:tcW w:w="613" w:type="pct"/>
                  <w:gridSpan w:val="2"/>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8月</w:t>
                  </w:r>
                </w:p>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31日</w:t>
                  </w:r>
                </w:p>
              </w:tc>
              <w:tc>
                <w:tcPr>
                  <w:tcW w:w="81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635" w:type="pct"/>
                  <w:gridSpan w:val="2"/>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5.42×10</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971"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43.0</w:t>
                  </w:r>
                </w:p>
              </w:tc>
              <w:tc>
                <w:tcPr>
                  <w:tcW w:w="778"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1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635" w:type="pct"/>
                  <w:gridSpan w:val="2"/>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5.28×10</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971"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47.0</w:t>
                  </w:r>
                </w:p>
              </w:tc>
              <w:tc>
                <w:tcPr>
                  <w:tcW w:w="778"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1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635" w:type="pct"/>
                  <w:gridSpan w:val="2"/>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5.36×10</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971"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45.0</w:t>
                  </w:r>
                </w:p>
              </w:tc>
              <w:tc>
                <w:tcPr>
                  <w:tcW w:w="778"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16" w:type="pct"/>
                  <w:gridSpan w:val="2"/>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最大值</w:t>
                  </w:r>
                </w:p>
              </w:tc>
              <w:tc>
                <w:tcPr>
                  <w:tcW w:w="635" w:type="pct"/>
                  <w:gridSpan w:val="2"/>
                  <w:shd w:val="clear" w:color="auto" w:fill="auto"/>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w:t>
                  </w:r>
                </w:p>
              </w:tc>
              <w:tc>
                <w:tcPr>
                  <w:tcW w:w="971" w:type="pct"/>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47.0</w:t>
                  </w:r>
                </w:p>
              </w:tc>
              <w:tc>
                <w:tcPr>
                  <w:tcW w:w="778" w:type="pct"/>
                  <w:shd w:val="clear" w:color="auto" w:fill="auto"/>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9月</w:t>
                  </w:r>
                </w:p>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1日</w:t>
                  </w:r>
                </w:p>
              </w:tc>
              <w:tc>
                <w:tcPr>
                  <w:tcW w:w="81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635" w:type="pct"/>
                  <w:gridSpan w:val="2"/>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5.08×10</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971"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45.0</w:t>
                  </w:r>
                </w:p>
              </w:tc>
              <w:tc>
                <w:tcPr>
                  <w:tcW w:w="778"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1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635" w:type="pct"/>
                  <w:gridSpan w:val="2"/>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5.16×10</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971"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42.0</w:t>
                  </w:r>
                </w:p>
              </w:tc>
              <w:tc>
                <w:tcPr>
                  <w:tcW w:w="778"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1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635" w:type="pct"/>
                  <w:gridSpan w:val="2"/>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4.93×10</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971"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44.0</w:t>
                  </w:r>
                </w:p>
              </w:tc>
              <w:tc>
                <w:tcPr>
                  <w:tcW w:w="778"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16" w:type="pct"/>
                  <w:gridSpan w:val="2"/>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最大值</w:t>
                  </w:r>
                </w:p>
              </w:tc>
              <w:tc>
                <w:tcPr>
                  <w:tcW w:w="635" w:type="pct"/>
                  <w:gridSpan w:val="2"/>
                  <w:shd w:val="clear" w:color="auto" w:fill="auto"/>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w:t>
                  </w:r>
                </w:p>
              </w:tc>
              <w:tc>
                <w:tcPr>
                  <w:tcW w:w="971" w:type="pct"/>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45.0</w:t>
                  </w:r>
                </w:p>
              </w:tc>
              <w:tc>
                <w:tcPr>
                  <w:tcW w:w="778" w:type="pct"/>
                  <w:shd w:val="clear" w:color="auto" w:fill="auto"/>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废气处理设施进口 YQ2</w:t>
                  </w:r>
                </w:p>
              </w:tc>
              <w:tc>
                <w:tcPr>
                  <w:tcW w:w="613" w:type="pct"/>
                  <w:gridSpan w:val="2"/>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8月</w:t>
                  </w:r>
                </w:p>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31日</w:t>
                  </w:r>
                </w:p>
              </w:tc>
              <w:tc>
                <w:tcPr>
                  <w:tcW w:w="81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635" w:type="pct"/>
                  <w:gridSpan w:val="2"/>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5.33×10</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971"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44.0</w:t>
                  </w:r>
                </w:p>
              </w:tc>
              <w:tc>
                <w:tcPr>
                  <w:tcW w:w="778"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1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635" w:type="pct"/>
                  <w:gridSpan w:val="2"/>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5.30×10</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971"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41.0</w:t>
                  </w:r>
                </w:p>
              </w:tc>
              <w:tc>
                <w:tcPr>
                  <w:tcW w:w="778"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1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635" w:type="pct"/>
                  <w:gridSpan w:val="2"/>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5.22×10</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971"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43.0</w:t>
                  </w:r>
                </w:p>
              </w:tc>
              <w:tc>
                <w:tcPr>
                  <w:tcW w:w="778"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16" w:type="pct"/>
                  <w:gridSpan w:val="2"/>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最大值</w:t>
                  </w:r>
                </w:p>
              </w:tc>
              <w:tc>
                <w:tcPr>
                  <w:tcW w:w="635" w:type="pct"/>
                  <w:gridSpan w:val="2"/>
                  <w:shd w:val="clear" w:color="auto" w:fill="auto"/>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w:t>
                  </w:r>
                </w:p>
              </w:tc>
              <w:tc>
                <w:tcPr>
                  <w:tcW w:w="971" w:type="pct"/>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44.0</w:t>
                  </w:r>
                </w:p>
              </w:tc>
              <w:tc>
                <w:tcPr>
                  <w:tcW w:w="778" w:type="pct"/>
                  <w:shd w:val="clear" w:color="auto" w:fill="auto"/>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9月</w:t>
                  </w:r>
                </w:p>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1日</w:t>
                  </w:r>
                </w:p>
              </w:tc>
              <w:tc>
                <w:tcPr>
                  <w:tcW w:w="81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635" w:type="pct"/>
                  <w:gridSpan w:val="2"/>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5.22×10</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971"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40.0</w:t>
                  </w:r>
                </w:p>
              </w:tc>
              <w:tc>
                <w:tcPr>
                  <w:tcW w:w="778"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1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635" w:type="pct"/>
                  <w:gridSpan w:val="2"/>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5.16×10</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971"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43.0</w:t>
                  </w:r>
                </w:p>
              </w:tc>
              <w:tc>
                <w:tcPr>
                  <w:tcW w:w="778"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1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635" w:type="pct"/>
                  <w:gridSpan w:val="2"/>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5.13×10</w:t>
                  </w:r>
                  <w:r>
                    <w:rPr>
                      <w:rFonts w:ascii="Times New Roman" w:hAnsi="Times New Roman" w:eastAsia="宋体" w:cs="Times New Roman"/>
                      <w:color w:val="000000" w:themeColor="text1"/>
                      <w:szCs w:val="21"/>
                      <w:vertAlign w:val="superscript"/>
                      <w14:textFill>
                        <w14:solidFill>
                          <w14:schemeClr w14:val="tx1"/>
                        </w14:solidFill>
                      </w14:textFill>
                    </w:rPr>
                    <w:t>3</w:t>
                  </w:r>
                </w:p>
              </w:tc>
              <w:tc>
                <w:tcPr>
                  <w:tcW w:w="971"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42.0</w:t>
                  </w:r>
                </w:p>
              </w:tc>
              <w:tc>
                <w:tcPr>
                  <w:tcW w:w="778"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187" w:type="pct"/>
                  <w:vMerge w:val="continue"/>
                  <w:vAlign w:val="center"/>
                </w:tcPr>
                <w:p>
                  <w:pPr>
                    <w:jc w:val="center"/>
                    <w:rPr>
                      <w:rFonts w:ascii="Times New Roman" w:hAnsi="Times New Roman" w:eastAsia="宋体" w:cs="Times New Roman"/>
                      <w:color w:val="000000"/>
                      <w:szCs w:val="21"/>
                    </w:rPr>
                  </w:pPr>
                </w:p>
              </w:tc>
              <w:tc>
                <w:tcPr>
                  <w:tcW w:w="613"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16" w:type="pct"/>
                  <w:gridSpan w:val="2"/>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最大值</w:t>
                  </w:r>
                </w:p>
              </w:tc>
              <w:tc>
                <w:tcPr>
                  <w:tcW w:w="635" w:type="pct"/>
                  <w:gridSpan w:val="2"/>
                  <w:shd w:val="clear" w:color="auto" w:fill="auto"/>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w:t>
                  </w:r>
                </w:p>
              </w:tc>
              <w:tc>
                <w:tcPr>
                  <w:tcW w:w="971" w:type="pct"/>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43.0</w:t>
                  </w:r>
                </w:p>
              </w:tc>
              <w:tc>
                <w:tcPr>
                  <w:tcW w:w="778" w:type="pct"/>
                  <w:shd w:val="clear" w:color="auto" w:fill="auto"/>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97" w:hRule="atLeast"/>
                <w:jc w:val="center"/>
              </w:trPr>
              <w:tc>
                <w:tcPr>
                  <w:tcW w:w="3251" w:type="pct"/>
                  <w:gridSpan w:val="7"/>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最大小时均值</w:t>
                  </w:r>
                </w:p>
              </w:tc>
              <w:tc>
                <w:tcPr>
                  <w:tcW w:w="971" w:type="pct"/>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47.0</w:t>
                  </w:r>
                </w:p>
              </w:tc>
              <w:tc>
                <w:tcPr>
                  <w:tcW w:w="778" w:type="pct"/>
                  <w:shd w:val="clear" w:color="auto" w:fill="auto"/>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03" w:type="pct"/>
                  <w:gridSpan w:val="2"/>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废气处理设施出口 YQ3（15m）</w:t>
                  </w:r>
                </w:p>
              </w:tc>
              <w:tc>
                <w:tcPr>
                  <w:tcW w:w="619" w:type="pct"/>
                  <w:gridSpan w:val="2"/>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8月</w:t>
                  </w:r>
                </w:p>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31日</w:t>
                  </w:r>
                </w:p>
              </w:tc>
              <w:tc>
                <w:tcPr>
                  <w:tcW w:w="82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603"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1.01×10</w:t>
                  </w:r>
                  <w:r>
                    <w:rPr>
                      <w:rFonts w:ascii="Times New Roman" w:hAnsi="Times New Roman" w:eastAsia="宋体" w:cs="Times New Roman"/>
                      <w:color w:val="000000" w:themeColor="text1"/>
                      <w:szCs w:val="21"/>
                      <w:vertAlign w:val="superscript"/>
                      <w14:textFill>
                        <w14:solidFill>
                          <w14:schemeClr w14:val="tx1"/>
                        </w14:solidFill>
                      </w14:textFill>
                    </w:rPr>
                    <w:t>4</w:t>
                  </w:r>
                </w:p>
              </w:tc>
              <w:tc>
                <w:tcPr>
                  <w:tcW w:w="971"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9.0</w:t>
                  </w:r>
                </w:p>
              </w:tc>
              <w:tc>
                <w:tcPr>
                  <w:tcW w:w="778"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color w:val="000000"/>
                      <w:szCs w:val="21"/>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03" w:type="pct"/>
                  <w:gridSpan w:val="2"/>
                  <w:vMerge w:val="continue"/>
                  <w:vAlign w:val="center"/>
                </w:tcPr>
                <w:p>
                  <w:pPr>
                    <w:jc w:val="center"/>
                    <w:rPr>
                      <w:rFonts w:ascii="Times New Roman" w:hAnsi="Times New Roman" w:eastAsia="宋体" w:cs="Times New Roman"/>
                      <w:color w:val="000000"/>
                      <w:szCs w:val="21"/>
                    </w:rPr>
                  </w:pPr>
                </w:p>
              </w:tc>
              <w:tc>
                <w:tcPr>
                  <w:tcW w:w="619"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2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603"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1.01×10</w:t>
                  </w:r>
                  <w:r>
                    <w:rPr>
                      <w:rFonts w:ascii="Times New Roman" w:hAnsi="Times New Roman" w:eastAsia="宋体" w:cs="Times New Roman"/>
                      <w:color w:val="000000" w:themeColor="text1"/>
                      <w:szCs w:val="21"/>
                      <w:vertAlign w:val="superscript"/>
                      <w14:textFill>
                        <w14:solidFill>
                          <w14:schemeClr w14:val="tx1"/>
                        </w14:solidFill>
                      </w14:textFill>
                    </w:rPr>
                    <w:t>4</w:t>
                  </w:r>
                </w:p>
              </w:tc>
              <w:tc>
                <w:tcPr>
                  <w:tcW w:w="971"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7.0</w:t>
                  </w:r>
                </w:p>
              </w:tc>
              <w:tc>
                <w:tcPr>
                  <w:tcW w:w="778"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color w:val="000000"/>
                      <w:szCs w:val="21"/>
                    </w:rPr>
                    <w:t>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03" w:type="pct"/>
                  <w:gridSpan w:val="2"/>
                  <w:vMerge w:val="continue"/>
                  <w:vAlign w:val="center"/>
                </w:tcPr>
                <w:p>
                  <w:pPr>
                    <w:jc w:val="center"/>
                    <w:rPr>
                      <w:rFonts w:ascii="Times New Roman" w:hAnsi="Times New Roman" w:eastAsia="宋体" w:cs="Times New Roman"/>
                      <w:color w:val="000000"/>
                      <w:szCs w:val="21"/>
                    </w:rPr>
                  </w:pPr>
                </w:p>
              </w:tc>
              <w:tc>
                <w:tcPr>
                  <w:tcW w:w="619"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2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603"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1.01×10</w:t>
                  </w:r>
                  <w:r>
                    <w:rPr>
                      <w:rFonts w:ascii="Times New Roman" w:hAnsi="Times New Roman" w:eastAsia="宋体" w:cs="Times New Roman"/>
                      <w:color w:val="000000" w:themeColor="text1"/>
                      <w:szCs w:val="21"/>
                      <w:vertAlign w:val="superscript"/>
                      <w14:textFill>
                        <w14:solidFill>
                          <w14:schemeClr w14:val="tx1"/>
                        </w14:solidFill>
                      </w14:textFill>
                    </w:rPr>
                    <w:t>4</w:t>
                  </w:r>
                </w:p>
              </w:tc>
              <w:tc>
                <w:tcPr>
                  <w:tcW w:w="971"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8.0</w:t>
                  </w:r>
                </w:p>
              </w:tc>
              <w:tc>
                <w:tcPr>
                  <w:tcW w:w="778"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color w:val="000000"/>
                      <w:szCs w:val="21"/>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03" w:type="pct"/>
                  <w:gridSpan w:val="2"/>
                  <w:vMerge w:val="continue"/>
                  <w:vAlign w:val="center"/>
                </w:tcPr>
                <w:p>
                  <w:pPr>
                    <w:jc w:val="center"/>
                    <w:rPr>
                      <w:rFonts w:ascii="Times New Roman" w:hAnsi="Times New Roman" w:eastAsia="宋体" w:cs="Times New Roman"/>
                      <w:color w:val="000000"/>
                      <w:szCs w:val="21"/>
                    </w:rPr>
                  </w:pPr>
                </w:p>
              </w:tc>
              <w:tc>
                <w:tcPr>
                  <w:tcW w:w="619"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26" w:type="pct"/>
                  <w:gridSpan w:val="2"/>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最大值</w:t>
                  </w:r>
                </w:p>
              </w:tc>
              <w:tc>
                <w:tcPr>
                  <w:tcW w:w="603" w:type="pct"/>
                  <w:shd w:val="clear" w:color="auto" w:fill="auto"/>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w:t>
                  </w:r>
                </w:p>
              </w:tc>
              <w:tc>
                <w:tcPr>
                  <w:tcW w:w="971" w:type="pct"/>
                  <w:shd w:val="clear" w:color="auto" w:fill="auto"/>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9.0</w:t>
                  </w:r>
                </w:p>
              </w:tc>
              <w:tc>
                <w:tcPr>
                  <w:tcW w:w="778" w:type="pct"/>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0.091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03" w:type="pct"/>
                  <w:gridSpan w:val="2"/>
                  <w:vMerge w:val="continue"/>
                  <w:vAlign w:val="center"/>
                </w:tcPr>
                <w:p>
                  <w:pPr>
                    <w:jc w:val="center"/>
                    <w:rPr>
                      <w:rFonts w:ascii="Times New Roman" w:hAnsi="Times New Roman" w:eastAsia="宋体" w:cs="Times New Roman"/>
                      <w:color w:val="000000"/>
                      <w:szCs w:val="21"/>
                    </w:rPr>
                  </w:pPr>
                </w:p>
              </w:tc>
              <w:tc>
                <w:tcPr>
                  <w:tcW w:w="619" w:type="pct"/>
                  <w:gridSpan w:val="2"/>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9月</w:t>
                  </w:r>
                </w:p>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1日</w:t>
                  </w:r>
                </w:p>
              </w:tc>
              <w:tc>
                <w:tcPr>
                  <w:tcW w:w="82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603"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1.02×10</w:t>
                  </w:r>
                  <w:r>
                    <w:rPr>
                      <w:rFonts w:ascii="Times New Roman" w:hAnsi="Times New Roman" w:eastAsia="宋体" w:cs="Times New Roman"/>
                      <w:color w:val="000000" w:themeColor="text1"/>
                      <w:szCs w:val="21"/>
                      <w:vertAlign w:val="superscript"/>
                      <w14:textFill>
                        <w14:solidFill>
                          <w14:schemeClr w14:val="tx1"/>
                        </w14:solidFill>
                      </w14:textFill>
                    </w:rPr>
                    <w:t>4</w:t>
                  </w:r>
                </w:p>
              </w:tc>
              <w:tc>
                <w:tcPr>
                  <w:tcW w:w="971"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8.0</w:t>
                  </w:r>
                </w:p>
              </w:tc>
              <w:tc>
                <w:tcPr>
                  <w:tcW w:w="778"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03" w:type="pct"/>
                  <w:gridSpan w:val="2"/>
                  <w:vMerge w:val="continue"/>
                  <w:vAlign w:val="center"/>
                </w:tcPr>
                <w:p>
                  <w:pPr>
                    <w:jc w:val="center"/>
                    <w:rPr>
                      <w:rFonts w:ascii="Times New Roman" w:hAnsi="Times New Roman" w:eastAsia="宋体" w:cs="Times New Roman"/>
                      <w:color w:val="000000"/>
                      <w:szCs w:val="21"/>
                    </w:rPr>
                  </w:pPr>
                </w:p>
              </w:tc>
              <w:tc>
                <w:tcPr>
                  <w:tcW w:w="619"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2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603"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1.03×10</w:t>
                  </w:r>
                  <w:r>
                    <w:rPr>
                      <w:rFonts w:ascii="Times New Roman" w:hAnsi="Times New Roman" w:eastAsia="宋体" w:cs="Times New Roman"/>
                      <w:color w:val="000000" w:themeColor="text1"/>
                      <w:szCs w:val="21"/>
                      <w:vertAlign w:val="superscript"/>
                      <w14:textFill>
                        <w14:solidFill>
                          <w14:schemeClr w14:val="tx1"/>
                        </w14:solidFill>
                      </w14:textFill>
                    </w:rPr>
                    <w:t>4</w:t>
                  </w:r>
                </w:p>
              </w:tc>
              <w:tc>
                <w:tcPr>
                  <w:tcW w:w="971"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7.0</w:t>
                  </w:r>
                </w:p>
              </w:tc>
              <w:tc>
                <w:tcPr>
                  <w:tcW w:w="778"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03" w:type="pct"/>
                  <w:gridSpan w:val="2"/>
                  <w:vMerge w:val="continue"/>
                  <w:vAlign w:val="center"/>
                </w:tcPr>
                <w:p>
                  <w:pPr>
                    <w:jc w:val="center"/>
                    <w:rPr>
                      <w:rFonts w:ascii="Times New Roman" w:hAnsi="Times New Roman" w:eastAsia="宋体" w:cs="Times New Roman"/>
                      <w:color w:val="000000"/>
                      <w:szCs w:val="21"/>
                    </w:rPr>
                  </w:pPr>
                </w:p>
              </w:tc>
              <w:tc>
                <w:tcPr>
                  <w:tcW w:w="619"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26" w:type="pct"/>
                  <w:gridSpan w:val="2"/>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603"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themeColor="text1"/>
                      <w:szCs w:val="21"/>
                      <w14:textFill>
                        <w14:solidFill>
                          <w14:schemeClr w14:val="tx1"/>
                        </w14:solidFill>
                      </w14:textFill>
                    </w:rPr>
                    <w:t>1.03×10</w:t>
                  </w:r>
                  <w:r>
                    <w:rPr>
                      <w:rFonts w:ascii="Times New Roman" w:hAnsi="Times New Roman" w:eastAsia="宋体" w:cs="Times New Roman"/>
                      <w:color w:val="000000" w:themeColor="text1"/>
                      <w:szCs w:val="21"/>
                      <w:vertAlign w:val="superscript"/>
                      <w14:textFill>
                        <w14:solidFill>
                          <w14:schemeClr w14:val="tx1"/>
                        </w14:solidFill>
                      </w14:textFill>
                    </w:rPr>
                    <w:t>4</w:t>
                  </w:r>
                </w:p>
              </w:tc>
              <w:tc>
                <w:tcPr>
                  <w:tcW w:w="971" w:type="pct"/>
                  <w:shd w:val="clear" w:color="auto" w:fill="auto"/>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9.0</w:t>
                  </w:r>
                </w:p>
              </w:tc>
              <w:tc>
                <w:tcPr>
                  <w:tcW w:w="778" w:type="pct"/>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203" w:type="pct"/>
                  <w:gridSpan w:val="2"/>
                  <w:vMerge w:val="continue"/>
                  <w:vAlign w:val="center"/>
                </w:tcPr>
                <w:p>
                  <w:pPr>
                    <w:jc w:val="center"/>
                    <w:rPr>
                      <w:rFonts w:ascii="Times New Roman" w:hAnsi="Times New Roman" w:eastAsia="宋体" w:cs="Times New Roman"/>
                      <w:color w:val="000000"/>
                      <w:szCs w:val="21"/>
                    </w:rPr>
                  </w:pPr>
                </w:p>
              </w:tc>
              <w:tc>
                <w:tcPr>
                  <w:tcW w:w="619" w:type="pct"/>
                  <w:gridSpan w:val="2"/>
                  <w:vMerge w:val="continue"/>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p>
              </w:tc>
              <w:tc>
                <w:tcPr>
                  <w:tcW w:w="826" w:type="pct"/>
                  <w:gridSpan w:val="2"/>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最大值</w:t>
                  </w:r>
                </w:p>
              </w:tc>
              <w:tc>
                <w:tcPr>
                  <w:tcW w:w="603" w:type="pct"/>
                  <w:shd w:val="clear" w:color="auto" w:fill="auto"/>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w:t>
                  </w:r>
                </w:p>
              </w:tc>
              <w:tc>
                <w:tcPr>
                  <w:tcW w:w="971" w:type="pct"/>
                  <w:shd w:val="clear" w:color="auto" w:fill="auto"/>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9.0</w:t>
                  </w:r>
                </w:p>
              </w:tc>
              <w:tc>
                <w:tcPr>
                  <w:tcW w:w="778" w:type="pct"/>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51" w:type="pct"/>
                  <w:gridSpan w:val="7"/>
                  <w:vAlign w:val="center"/>
                </w:tcPr>
                <w:p>
                  <w:p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最大小时均值</w:t>
                  </w:r>
                </w:p>
              </w:tc>
              <w:tc>
                <w:tcPr>
                  <w:tcW w:w="971" w:type="pct"/>
                  <w:shd w:val="clear" w:color="auto" w:fill="auto"/>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9.0</w:t>
                  </w:r>
                </w:p>
              </w:tc>
              <w:tc>
                <w:tcPr>
                  <w:tcW w:w="778" w:type="pct"/>
                  <w:shd w:val="clear" w:color="auto" w:fill="auto"/>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51" w:type="pct"/>
                  <w:gridSpan w:val="7"/>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标准限值</w:t>
                  </w:r>
                </w:p>
              </w:tc>
              <w:tc>
                <w:tcPr>
                  <w:tcW w:w="971" w:type="pct"/>
                  <w:shd w:val="clear" w:color="auto" w:fill="auto"/>
                  <w:vAlign w:val="center"/>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20</w:t>
                  </w:r>
                </w:p>
              </w:tc>
              <w:tc>
                <w:tcPr>
                  <w:tcW w:w="778" w:type="pct"/>
                  <w:shd w:val="clear" w:color="auto" w:fill="auto"/>
                  <w:vAlign w:val="center"/>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251" w:type="pct"/>
                  <w:gridSpan w:val="7"/>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是否符合</w:t>
                  </w:r>
                </w:p>
              </w:tc>
              <w:tc>
                <w:tcPr>
                  <w:tcW w:w="971" w:type="pct"/>
                  <w:shd w:val="clear" w:color="auto" w:fill="auto"/>
                  <w:vAlign w:val="center"/>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符合</w:t>
                  </w:r>
                </w:p>
              </w:tc>
              <w:tc>
                <w:tcPr>
                  <w:tcW w:w="778" w:type="pct"/>
                  <w:shd w:val="clear" w:color="auto" w:fill="auto"/>
                  <w:vAlign w:val="center"/>
                </w:tcPr>
                <w:p>
                  <w:pPr>
                    <w:jc w:val="center"/>
                    <w:rPr>
                      <w:rFonts w:ascii="Times New Roman" w:hAnsi="Times New Roman" w:eastAsia="宋体" w:cs="Times New Roman"/>
                      <w:b/>
                      <w:color w:val="000000"/>
                      <w:szCs w:val="21"/>
                    </w:rPr>
                  </w:pPr>
                  <w:r>
                    <w:rPr>
                      <w:rFonts w:ascii="Times New Roman" w:hAnsi="Times New Roman" w:eastAsia="宋体" w:cs="Times New Roman"/>
                      <w:b/>
                      <w:color w:val="000000"/>
                      <w:szCs w:val="21"/>
                    </w:rPr>
                    <w:t>符合</w:t>
                  </w:r>
                </w:p>
              </w:tc>
            </w:tr>
          </w:tbl>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表7</w:t>
            </w:r>
            <w:r>
              <w:rPr>
                <w:rFonts w:ascii="Times New Roman" w:hAnsi="Times New Roman" w:eastAsia="宋体" w:cs="Times New Roman"/>
                <w:sz w:val="24"/>
              </w:rPr>
              <w:t>-5</w:t>
            </w:r>
            <w:r>
              <w:rPr>
                <w:rFonts w:hint="eastAsia" w:ascii="Times New Roman" w:hAnsi="Times New Roman" w:eastAsia="宋体" w:cs="Times New Roman"/>
                <w:sz w:val="24"/>
              </w:rPr>
              <w:t>有组织废气监测结果表明：</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sym w:font="Wingdings" w:char="F076"/>
            </w:r>
            <w:r>
              <w:rPr>
                <w:rFonts w:ascii="Times New Roman" w:hAnsi="Times New Roman" w:eastAsia="宋体" w:cs="Times New Roman"/>
                <w:sz w:val="24"/>
              </w:rPr>
              <w:t xml:space="preserve"> </w:t>
            </w:r>
            <w:r>
              <w:rPr>
                <w:rFonts w:hint="eastAsia" w:ascii="Times New Roman" w:hAnsi="Times New Roman" w:eastAsia="宋体" w:cs="Times New Roman"/>
                <w:sz w:val="24"/>
              </w:rPr>
              <w:t>排气筒出口废气污染物颗粒物的排放浓度为</w:t>
            </w:r>
            <w:r>
              <w:rPr>
                <w:rFonts w:ascii="Times New Roman" w:hAnsi="Times New Roman" w:eastAsia="宋体" w:cs="Times New Roman"/>
                <w:sz w:val="24"/>
              </w:rPr>
              <w:t>9.0</w:t>
            </w:r>
            <w:r>
              <w:rPr>
                <w:rFonts w:hint="eastAsia" w:ascii="Times New Roman" w:hAnsi="Times New Roman" w:eastAsia="宋体" w:cs="Times New Roman"/>
                <w:sz w:val="24"/>
              </w:rPr>
              <w:t>m</w:t>
            </w:r>
            <w:r>
              <w:rPr>
                <w:rFonts w:ascii="Times New Roman" w:hAnsi="Times New Roman" w:eastAsia="宋体" w:cs="Times New Roman"/>
                <w:sz w:val="24"/>
              </w:rPr>
              <w:t>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，速率为</w:t>
            </w:r>
            <w:r>
              <w:rPr>
                <w:rFonts w:ascii="Times New Roman" w:hAnsi="Times New Roman" w:eastAsia="宋体" w:cs="Times New Roman"/>
                <w:sz w:val="24"/>
              </w:rPr>
              <w:t>0.092</w:t>
            </w:r>
            <w:r>
              <w:rPr>
                <w:rFonts w:hint="eastAsia" w:ascii="Times New Roman" w:hAnsi="Times New Roman" w:eastAsia="宋体" w:cs="Times New Roman"/>
                <w:sz w:val="24"/>
              </w:rPr>
              <w:t>kg/</w:t>
            </w:r>
            <w:r>
              <w:rPr>
                <w:rFonts w:ascii="Times New Roman" w:hAnsi="Times New Roman" w:eastAsia="宋体" w:cs="Times New Roman"/>
                <w:sz w:val="24"/>
              </w:rPr>
              <w:t>h</w:t>
            </w:r>
            <w:r>
              <w:rPr>
                <w:rFonts w:hint="eastAsia" w:ascii="Times New Roman" w:hAnsi="Times New Roman" w:eastAsia="宋体" w:cs="Times New Roman"/>
                <w:sz w:val="24"/>
              </w:rPr>
              <w:t>。</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综上可知，颗粒物可满足《大气污染物综合排放标准》（</w:t>
            </w:r>
            <w:r>
              <w:rPr>
                <w:rFonts w:ascii="Times New Roman" w:hAnsi="Times New Roman" w:eastAsia="宋体" w:cs="Times New Roman"/>
                <w:sz w:val="24"/>
              </w:rPr>
              <w:t>DB32/4041-2021）中表1的标准限值。</w:t>
            </w:r>
          </w:p>
          <w:p>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四、无组织废气监测结果</w:t>
            </w:r>
            <w:r>
              <w:rPr>
                <w:rFonts w:ascii="Times New Roman" w:hAnsi="Times New Roman" w:eastAsia="宋体" w:cs="Times New Roman"/>
                <w:b/>
                <w:bCs/>
                <w:sz w:val="24"/>
              </w:rPr>
              <w:t>：</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sym w:font="Wingdings" w:char="F076"/>
            </w:r>
            <w:r>
              <w:rPr>
                <w:rFonts w:hint="eastAsia" w:ascii="Times New Roman" w:hAnsi="Times New Roman" w:eastAsia="宋体" w:cs="Times New Roman"/>
                <w:sz w:val="24"/>
              </w:rPr>
              <w:t xml:space="preserve"> 监测日期为：2</w:t>
            </w:r>
            <w:r>
              <w:rPr>
                <w:rFonts w:ascii="Times New Roman" w:hAnsi="Times New Roman" w:eastAsia="宋体" w:cs="Times New Roman"/>
                <w:sz w:val="24"/>
              </w:rPr>
              <w:t>022</w:t>
            </w:r>
            <w:r>
              <w:rPr>
                <w:rFonts w:hint="eastAsia" w:ascii="Times New Roman" w:hAnsi="Times New Roman" w:eastAsia="宋体" w:cs="Times New Roman"/>
                <w:sz w:val="24"/>
              </w:rPr>
              <w:t>年</w:t>
            </w:r>
            <w:r>
              <w:rPr>
                <w:rFonts w:ascii="Times New Roman" w:hAnsi="Times New Roman" w:eastAsia="宋体" w:cs="Times New Roman"/>
                <w:sz w:val="24"/>
              </w:rPr>
              <w:t>8</w:t>
            </w:r>
            <w:r>
              <w:rPr>
                <w:rFonts w:hint="eastAsia" w:ascii="Times New Roman" w:hAnsi="Times New Roman" w:eastAsia="宋体" w:cs="Times New Roman"/>
                <w:sz w:val="24"/>
              </w:rPr>
              <w:t>月</w:t>
            </w:r>
            <w:r>
              <w:rPr>
                <w:rFonts w:ascii="Times New Roman" w:hAnsi="Times New Roman" w:eastAsia="宋体" w:cs="Times New Roman"/>
                <w:sz w:val="24"/>
              </w:rPr>
              <w:t>31</w:t>
            </w:r>
            <w:r>
              <w:rPr>
                <w:rFonts w:hint="eastAsia" w:ascii="Times New Roman" w:hAnsi="Times New Roman" w:eastAsia="宋体" w:cs="Times New Roman"/>
                <w:sz w:val="24"/>
              </w:rPr>
              <w:t>日-</w:t>
            </w:r>
            <w:r>
              <w:rPr>
                <w:rFonts w:ascii="Times New Roman" w:hAnsi="Times New Roman" w:eastAsia="宋体" w:cs="Times New Roman"/>
                <w:sz w:val="24"/>
              </w:rPr>
              <w:t>2022</w:t>
            </w:r>
            <w:r>
              <w:rPr>
                <w:rFonts w:hint="eastAsia" w:ascii="Times New Roman" w:hAnsi="Times New Roman" w:eastAsia="宋体" w:cs="Times New Roman"/>
                <w:sz w:val="24"/>
              </w:rPr>
              <w:t>年</w:t>
            </w:r>
            <w:r>
              <w:rPr>
                <w:rFonts w:ascii="Times New Roman" w:hAnsi="Times New Roman" w:eastAsia="宋体" w:cs="Times New Roman"/>
                <w:sz w:val="24"/>
              </w:rPr>
              <w:t>9</w:t>
            </w:r>
            <w:r>
              <w:rPr>
                <w:rFonts w:hint="eastAsia" w:ascii="Times New Roman" w:hAnsi="Times New Roman" w:eastAsia="宋体" w:cs="Times New Roman"/>
                <w:sz w:val="24"/>
              </w:rPr>
              <w:t>月</w:t>
            </w:r>
            <w:r>
              <w:rPr>
                <w:rFonts w:ascii="Times New Roman" w:hAnsi="Times New Roman" w:eastAsia="宋体" w:cs="Times New Roman"/>
                <w:sz w:val="24"/>
              </w:rPr>
              <w:t>1</w:t>
            </w:r>
            <w:r>
              <w:rPr>
                <w:rFonts w:hint="eastAsia" w:ascii="Times New Roman" w:hAnsi="Times New Roman" w:eastAsia="宋体" w:cs="Times New Roman"/>
                <w:sz w:val="24"/>
              </w:rPr>
              <w:t>日。</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sym w:font="Wingdings" w:char="F076"/>
            </w:r>
            <w:r>
              <w:rPr>
                <w:rFonts w:ascii="Times New Roman" w:hAnsi="Times New Roman" w:eastAsia="宋体" w:cs="Times New Roman"/>
                <w:sz w:val="24"/>
              </w:rPr>
              <w:t xml:space="preserve"> </w:t>
            </w:r>
            <w:r>
              <w:rPr>
                <w:rFonts w:hint="eastAsia" w:ascii="Times New Roman" w:hAnsi="Times New Roman" w:eastAsia="宋体" w:cs="Times New Roman"/>
                <w:sz w:val="24"/>
              </w:rPr>
              <w:t>考核标准：未收集到无组织颗粒物执行</w:t>
            </w:r>
            <w:r>
              <w:rPr>
                <w:rFonts w:ascii="Times New Roman" w:hAnsi="Times New Roman" w:eastAsia="宋体" w:cs="Times New Roman"/>
                <w:sz w:val="24"/>
              </w:rPr>
              <w:t>《大气污染物综合排放标准》（DB32/4041-2021）中表3的标准限值</w:t>
            </w:r>
            <w:r>
              <w:rPr>
                <w:rFonts w:hint="eastAsia" w:ascii="Times New Roman" w:hAnsi="Times New Roman" w:eastAsia="宋体" w:cs="Times New Roman"/>
                <w:sz w:val="24"/>
              </w:rPr>
              <w:t>。</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7</w:t>
            </w:r>
            <w:r>
              <w:rPr>
                <w:rFonts w:hint="eastAsia" w:ascii="Times New Roman" w:hAnsi="Times New Roman" w:eastAsia="宋体" w:cs="Times New Roman"/>
                <w:b/>
                <w:bCs/>
                <w:sz w:val="24"/>
              </w:rPr>
              <w:t>-</w:t>
            </w:r>
            <w:r>
              <w:rPr>
                <w:rFonts w:ascii="Times New Roman" w:hAnsi="Times New Roman" w:eastAsia="宋体" w:cs="Times New Roman"/>
                <w:b/>
                <w:bCs/>
                <w:sz w:val="24"/>
              </w:rPr>
              <w:t xml:space="preserve">6  </w:t>
            </w:r>
            <w:r>
              <w:rPr>
                <w:rFonts w:hint="eastAsia" w:ascii="Times New Roman" w:hAnsi="Times New Roman" w:eastAsia="宋体" w:cs="Times New Roman"/>
                <w:b/>
                <w:bCs/>
                <w:sz w:val="24"/>
              </w:rPr>
              <w:t>无组织废气监测结果一览表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2823"/>
              <w:gridCol w:w="2054"/>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检测点位</w:t>
                  </w:r>
                </w:p>
              </w:tc>
              <w:tc>
                <w:tcPr>
                  <w:tcW w:w="1607" w:type="pct"/>
                  <w:vAlign w:val="center"/>
                </w:tcPr>
                <w:p>
                  <w:pPr>
                    <w:numPr>
                      <w:ilvl w:val="12"/>
                      <w:numId w:val="0"/>
                    </w:numPr>
                    <w:jc w:val="center"/>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检测日期</w:t>
                  </w:r>
                </w:p>
              </w:tc>
              <w:tc>
                <w:tcPr>
                  <w:tcW w:w="1169" w:type="pct"/>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采样频次</w:t>
                  </w:r>
                </w:p>
              </w:tc>
              <w:tc>
                <w:tcPr>
                  <w:tcW w:w="1160"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总悬浮颗粒物（mg/m</w:t>
                  </w:r>
                  <w:r>
                    <w:rPr>
                      <w:rFonts w:ascii="Times New Roman" w:hAnsi="Times New Roman" w:eastAsia="宋体" w:cs="Times New Roman"/>
                      <w:b/>
                      <w:bCs/>
                      <w:szCs w:val="21"/>
                      <w:vertAlign w:val="superscript"/>
                    </w:rPr>
                    <w:t>3</w:t>
                  </w:r>
                  <w:r>
                    <w:rPr>
                      <w:rFonts w:ascii="Times New Roman" w:hAnsi="Times New Roman" w:eastAsia="宋体" w:cs="Times New Roman"/>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厂界上风向WQ1</w:t>
                  </w:r>
                </w:p>
              </w:tc>
              <w:tc>
                <w:tcPr>
                  <w:tcW w:w="1607" w:type="pct"/>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8月</w:t>
                  </w:r>
                  <w:r>
                    <w:rPr>
                      <w:rFonts w:ascii="Times New Roman" w:hAnsi="Times New Roman" w:eastAsia="宋体" w:cs="Times New Roman"/>
                      <w:color w:val="000000" w:themeColor="text1"/>
                      <w:szCs w:val="21"/>
                      <w14:textFill>
                        <w14:solidFill>
                          <w14:schemeClr w14:val="tx1"/>
                        </w14:solidFill>
                      </w14:textFill>
                    </w:rPr>
                    <w:t>31日</w:t>
                  </w: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9月1日</w:t>
                  </w: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厂界下风向WQ2</w:t>
                  </w:r>
                </w:p>
              </w:tc>
              <w:tc>
                <w:tcPr>
                  <w:tcW w:w="1607" w:type="pct"/>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8月31日</w:t>
                  </w: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9月1日</w:t>
                  </w: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厂界下风向WQ3</w:t>
                  </w:r>
                </w:p>
              </w:tc>
              <w:tc>
                <w:tcPr>
                  <w:tcW w:w="1607" w:type="pct"/>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8月31日</w:t>
                  </w: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9月1日</w:t>
                  </w: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restart"/>
                  <w:vAlign w:val="center"/>
                </w:tcPr>
                <w:p>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厂界下风向WQ4</w:t>
                  </w:r>
                </w:p>
              </w:tc>
              <w:tc>
                <w:tcPr>
                  <w:tcW w:w="1607" w:type="pct"/>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8月31日</w:t>
                  </w: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restart"/>
                  <w:vAlign w:val="center"/>
                </w:tcPr>
                <w:p>
                  <w:pPr>
                    <w:numPr>
                      <w:ilvl w:val="12"/>
                      <w:numId w:val="0"/>
                    </w:num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9月1日</w:t>
                  </w: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4"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607" w:type="pct"/>
                  <w:vMerge w:val="continue"/>
                  <w:vAlign w:val="center"/>
                </w:tcPr>
                <w:p>
                  <w:pPr>
                    <w:jc w:val="center"/>
                    <w:rPr>
                      <w:rFonts w:ascii="Times New Roman" w:hAnsi="Times New Roman" w:eastAsia="宋体" w:cs="Times New Roman"/>
                      <w:color w:val="000000" w:themeColor="text1"/>
                      <w:szCs w:val="21"/>
                      <w14:textFill>
                        <w14:solidFill>
                          <w14:schemeClr w14:val="tx1"/>
                        </w14:solidFill>
                      </w14:textFill>
                    </w:rPr>
                  </w:pPr>
                </w:p>
              </w:tc>
              <w:tc>
                <w:tcPr>
                  <w:tcW w:w="1169"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第三次</w:t>
                  </w:r>
                </w:p>
              </w:tc>
              <w:tc>
                <w:tcPr>
                  <w:tcW w:w="1160"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0.350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0" w:type="pct"/>
                  <w:gridSpan w:val="3"/>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最大值</w:t>
                  </w:r>
                </w:p>
              </w:tc>
              <w:tc>
                <w:tcPr>
                  <w:tcW w:w="1160" w:type="pct"/>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0.367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0" w:type="pct"/>
                  <w:gridSpan w:val="3"/>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标准限值</w:t>
                  </w:r>
                </w:p>
              </w:tc>
              <w:tc>
                <w:tcPr>
                  <w:tcW w:w="1160" w:type="pct"/>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40" w:type="pct"/>
                  <w:gridSpan w:val="3"/>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是否符合</w:t>
                  </w:r>
                </w:p>
              </w:tc>
              <w:tc>
                <w:tcPr>
                  <w:tcW w:w="1160" w:type="pct"/>
                  <w:vAlign w:val="center"/>
                </w:tcPr>
                <w:p>
                  <w:pPr>
                    <w:jc w:val="cente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符合</w:t>
                  </w:r>
                </w:p>
              </w:tc>
            </w:tr>
          </w:tbl>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表7-</w:t>
            </w:r>
            <w:r>
              <w:rPr>
                <w:rFonts w:ascii="Times New Roman" w:hAnsi="Times New Roman" w:eastAsia="宋体" w:cs="Times New Roman"/>
                <w:sz w:val="24"/>
              </w:rPr>
              <w:t>6</w:t>
            </w:r>
            <w:r>
              <w:rPr>
                <w:rFonts w:hint="eastAsia" w:ascii="Times New Roman" w:hAnsi="Times New Roman" w:eastAsia="宋体" w:cs="Times New Roman"/>
                <w:sz w:val="24"/>
              </w:rPr>
              <w:t>无组织废气监测结果表明：</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sym w:font="Wingdings" w:char="F076"/>
            </w:r>
            <w:r>
              <w:rPr>
                <w:rFonts w:ascii="Times New Roman" w:hAnsi="Times New Roman" w:eastAsia="宋体" w:cs="Times New Roman"/>
                <w:sz w:val="24"/>
              </w:rPr>
              <w:t xml:space="preserve"> </w:t>
            </w:r>
            <w:r>
              <w:rPr>
                <w:rFonts w:hint="eastAsia" w:ascii="Times New Roman" w:hAnsi="Times New Roman" w:eastAsia="宋体" w:cs="Times New Roman"/>
                <w:sz w:val="24"/>
              </w:rPr>
              <w:t>厂界上风（</w:t>
            </w:r>
            <w:r>
              <w:rPr>
                <w:rFonts w:ascii="Times New Roman" w:hAnsi="Times New Roman" w:eastAsia="宋体" w:cs="Times New Roman"/>
                <w:sz w:val="24"/>
              </w:rPr>
              <w:t>WQ1</w:t>
            </w:r>
            <w:r>
              <w:rPr>
                <w:rFonts w:hint="eastAsia" w:ascii="Times New Roman" w:hAnsi="Times New Roman" w:eastAsia="宋体" w:cs="Times New Roman"/>
                <w:sz w:val="24"/>
              </w:rPr>
              <w:t>）颗粒物浓度为</w:t>
            </w:r>
            <w:r>
              <w:rPr>
                <w:rFonts w:ascii="Times New Roman" w:hAnsi="Times New Roman" w:eastAsia="宋体" w:cs="Times New Roman"/>
                <w:sz w:val="24"/>
              </w:rPr>
              <w:t>0.250-0.267</w:t>
            </w:r>
            <w:r>
              <w:rPr>
                <w:rFonts w:hint="eastAsia" w:ascii="Times New Roman" w:hAnsi="Times New Roman" w:eastAsia="宋体" w:cs="Times New Roman"/>
                <w:sz w:val="24"/>
              </w:rPr>
              <w:t>m</w:t>
            </w:r>
            <w:r>
              <w:rPr>
                <w:rFonts w:ascii="Times New Roman" w:hAnsi="Times New Roman" w:eastAsia="宋体" w:cs="Times New Roman"/>
                <w:sz w:val="24"/>
              </w:rPr>
              <w:t>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，厂界下风向（</w:t>
            </w:r>
            <w:r>
              <w:rPr>
                <w:rFonts w:ascii="Times New Roman" w:hAnsi="Times New Roman" w:eastAsia="宋体" w:cs="Times New Roman"/>
                <w:sz w:val="24"/>
              </w:rPr>
              <w:t>WQ2</w:t>
            </w:r>
            <w:r>
              <w:rPr>
                <w:rFonts w:hint="eastAsia" w:ascii="Times New Roman" w:hAnsi="Times New Roman" w:eastAsia="宋体" w:cs="Times New Roman"/>
                <w:sz w:val="24"/>
              </w:rPr>
              <w:t>）颗粒物浓度为</w:t>
            </w:r>
            <w:r>
              <w:rPr>
                <w:rFonts w:ascii="Times New Roman" w:hAnsi="Times New Roman" w:eastAsia="宋体" w:cs="Times New Roman"/>
                <w:sz w:val="24"/>
              </w:rPr>
              <w:t>0.300-0.367</w:t>
            </w:r>
            <w:r>
              <w:rPr>
                <w:rFonts w:hint="eastAsia" w:ascii="Times New Roman" w:hAnsi="Times New Roman" w:eastAsia="宋体" w:cs="Times New Roman"/>
                <w:sz w:val="24"/>
              </w:rPr>
              <w:t>m</w:t>
            </w:r>
            <w:r>
              <w:rPr>
                <w:rFonts w:ascii="Times New Roman" w:hAnsi="Times New Roman" w:eastAsia="宋体" w:cs="Times New Roman"/>
                <w:sz w:val="24"/>
              </w:rPr>
              <w:t>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，厂界下风（</w:t>
            </w:r>
            <w:r>
              <w:rPr>
                <w:rFonts w:ascii="Times New Roman" w:hAnsi="Times New Roman" w:eastAsia="宋体" w:cs="Times New Roman"/>
                <w:sz w:val="24"/>
              </w:rPr>
              <w:t>WQ3</w:t>
            </w:r>
            <w:r>
              <w:rPr>
                <w:rFonts w:hint="eastAsia" w:ascii="Times New Roman" w:hAnsi="Times New Roman" w:eastAsia="宋体" w:cs="Times New Roman"/>
                <w:sz w:val="24"/>
              </w:rPr>
              <w:t>）颗粒物为</w:t>
            </w:r>
            <w:r>
              <w:rPr>
                <w:rFonts w:ascii="Times New Roman" w:hAnsi="Times New Roman" w:eastAsia="宋体" w:cs="Times New Roman"/>
                <w:sz w:val="24"/>
              </w:rPr>
              <w:t>0.300-0.350</w:t>
            </w:r>
            <w:r>
              <w:rPr>
                <w:rFonts w:hint="eastAsia" w:ascii="Times New Roman" w:hAnsi="Times New Roman" w:eastAsia="宋体" w:cs="Times New Roman"/>
                <w:sz w:val="24"/>
              </w:rPr>
              <w:t>m</w:t>
            </w:r>
            <w:r>
              <w:rPr>
                <w:rFonts w:ascii="Times New Roman" w:hAnsi="Times New Roman" w:eastAsia="宋体" w:cs="Times New Roman"/>
                <w:sz w:val="24"/>
              </w:rPr>
              <w:t>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，厂界下风（</w:t>
            </w:r>
            <w:r>
              <w:rPr>
                <w:rFonts w:ascii="Times New Roman" w:hAnsi="Times New Roman" w:eastAsia="宋体" w:cs="Times New Roman"/>
                <w:sz w:val="24"/>
              </w:rPr>
              <w:t>WQ4</w:t>
            </w:r>
            <w:r>
              <w:rPr>
                <w:rFonts w:hint="eastAsia" w:ascii="Times New Roman" w:hAnsi="Times New Roman" w:eastAsia="宋体" w:cs="Times New Roman"/>
                <w:sz w:val="24"/>
              </w:rPr>
              <w:t>）颗粒物为</w:t>
            </w:r>
            <w:r>
              <w:rPr>
                <w:rFonts w:ascii="Times New Roman" w:hAnsi="Times New Roman" w:eastAsia="宋体" w:cs="Times New Roman"/>
                <w:sz w:val="24"/>
              </w:rPr>
              <w:t>0.300-0.350</w:t>
            </w:r>
            <w:r>
              <w:rPr>
                <w:rFonts w:hint="eastAsia" w:ascii="Times New Roman" w:hAnsi="Times New Roman" w:eastAsia="宋体" w:cs="Times New Roman"/>
                <w:sz w:val="24"/>
              </w:rPr>
              <w:t>m</w:t>
            </w:r>
            <w:r>
              <w:rPr>
                <w:rFonts w:ascii="Times New Roman" w:hAnsi="Times New Roman" w:eastAsia="宋体" w:cs="Times New Roman"/>
                <w:sz w:val="24"/>
              </w:rPr>
              <w:t>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，满足《大气污染物综合排放标准》（</w:t>
            </w:r>
            <w:r>
              <w:rPr>
                <w:rFonts w:ascii="Times New Roman" w:hAnsi="Times New Roman" w:eastAsia="宋体" w:cs="Times New Roman"/>
                <w:sz w:val="24"/>
              </w:rPr>
              <w:t>DB32/4041-2021）中表3的标准限值</w:t>
            </w:r>
            <w:r>
              <w:rPr>
                <w:rFonts w:hint="eastAsia" w:ascii="Times New Roman" w:hAnsi="Times New Roman" w:eastAsia="宋体" w:cs="Times New Roman"/>
                <w:sz w:val="24"/>
              </w:rPr>
              <w:t>。</w:t>
            </w:r>
          </w:p>
          <w:p>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五、厂界噪声监测结果</w:t>
            </w:r>
            <w:r>
              <w:rPr>
                <w:rFonts w:ascii="Times New Roman" w:hAnsi="Times New Roman" w:eastAsia="宋体" w:cs="Times New Roman"/>
                <w:b/>
                <w:bCs/>
                <w:sz w:val="24"/>
              </w:rPr>
              <w:t>：</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sym w:font="Wingdings" w:char="F076"/>
            </w:r>
            <w:r>
              <w:rPr>
                <w:rFonts w:hint="eastAsia" w:ascii="Times New Roman" w:hAnsi="Times New Roman" w:eastAsia="宋体" w:cs="Times New Roman"/>
                <w:sz w:val="24"/>
              </w:rPr>
              <w:t xml:space="preserve"> 监测日期为：2</w:t>
            </w:r>
            <w:r>
              <w:rPr>
                <w:rFonts w:ascii="Times New Roman" w:hAnsi="Times New Roman" w:eastAsia="宋体" w:cs="Times New Roman"/>
                <w:sz w:val="24"/>
              </w:rPr>
              <w:t>022</w:t>
            </w:r>
            <w:r>
              <w:rPr>
                <w:rFonts w:hint="eastAsia" w:ascii="Times New Roman" w:hAnsi="Times New Roman" w:eastAsia="宋体" w:cs="Times New Roman"/>
                <w:sz w:val="24"/>
              </w:rPr>
              <w:t>年</w:t>
            </w:r>
            <w:r>
              <w:rPr>
                <w:rFonts w:ascii="Times New Roman" w:hAnsi="Times New Roman" w:eastAsia="宋体" w:cs="Times New Roman"/>
                <w:sz w:val="24"/>
              </w:rPr>
              <w:t>8</w:t>
            </w:r>
            <w:r>
              <w:rPr>
                <w:rFonts w:hint="eastAsia" w:ascii="Times New Roman" w:hAnsi="Times New Roman" w:eastAsia="宋体" w:cs="Times New Roman"/>
                <w:sz w:val="24"/>
              </w:rPr>
              <w:t>月3</w:t>
            </w:r>
            <w:r>
              <w:rPr>
                <w:rFonts w:ascii="Times New Roman" w:hAnsi="Times New Roman" w:eastAsia="宋体" w:cs="Times New Roman"/>
                <w:sz w:val="24"/>
              </w:rPr>
              <w:t>1</w:t>
            </w:r>
            <w:r>
              <w:rPr>
                <w:rFonts w:hint="eastAsia" w:ascii="Times New Roman" w:hAnsi="Times New Roman" w:eastAsia="宋体" w:cs="Times New Roman"/>
                <w:sz w:val="24"/>
              </w:rPr>
              <w:t>日-</w:t>
            </w:r>
            <w:r>
              <w:rPr>
                <w:rFonts w:ascii="Times New Roman" w:hAnsi="Times New Roman" w:eastAsia="宋体" w:cs="Times New Roman"/>
                <w:sz w:val="24"/>
              </w:rPr>
              <w:t>2022</w:t>
            </w:r>
            <w:r>
              <w:rPr>
                <w:rFonts w:hint="eastAsia" w:ascii="Times New Roman" w:hAnsi="Times New Roman" w:eastAsia="宋体" w:cs="Times New Roman"/>
                <w:sz w:val="24"/>
              </w:rPr>
              <w:t>年</w:t>
            </w:r>
            <w:r>
              <w:rPr>
                <w:rFonts w:ascii="Times New Roman" w:hAnsi="Times New Roman" w:eastAsia="宋体" w:cs="Times New Roman"/>
                <w:sz w:val="24"/>
              </w:rPr>
              <w:t>9</w:t>
            </w:r>
            <w:r>
              <w:rPr>
                <w:rFonts w:hint="eastAsia" w:ascii="Times New Roman" w:hAnsi="Times New Roman" w:eastAsia="宋体" w:cs="Times New Roman"/>
                <w:sz w:val="24"/>
              </w:rPr>
              <w:t>月</w:t>
            </w:r>
            <w:r>
              <w:rPr>
                <w:rFonts w:ascii="Times New Roman" w:hAnsi="Times New Roman" w:eastAsia="宋体" w:cs="Times New Roman"/>
                <w:sz w:val="24"/>
              </w:rPr>
              <w:t>1</w:t>
            </w:r>
            <w:r>
              <w:rPr>
                <w:rFonts w:hint="eastAsia" w:ascii="Times New Roman" w:hAnsi="Times New Roman" w:eastAsia="宋体" w:cs="Times New Roman"/>
                <w:sz w:val="24"/>
              </w:rPr>
              <w:t>日。</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sym w:font="Wingdings" w:char="F076"/>
            </w:r>
            <w:r>
              <w:rPr>
                <w:rFonts w:ascii="Times New Roman" w:hAnsi="Times New Roman" w:eastAsia="宋体" w:cs="Times New Roman"/>
                <w:sz w:val="24"/>
              </w:rPr>
              <w:t xml:space="preserve"> </w:t>
            </w:r>
            <w:r>
              <w:rPr>
                <w:rFonts w:hint="eastAsia" w:ascii="Times New Roman" w:hAnsi="Times New Roman" w:eastAsia="宋体" w:cs="Times New Roman"/>
                <w:sz w:val="24"/>
              </w:rPr>
              <w:t>考核标准：厂界噪声执行《工业企业厂界环境噪声排放标准》（</w:t>
            </w:r>
            <w:r>
              <w:rPr>
                <w:rFonts w:ascii="Times New Roman" w:hAnsi="Times New Roman" w:eastAsia="宋体" w:cs="Times New Roman"/>
                <w:sz w:val="24"/>
              </w:rPr>
              <w:t>GB12348-2008</w:t>
            </w:r>
            <w:r>
              <w:rPr>
                <w:rFonts w:hint="eastAsia" w:ascii="Times New Roman" w:hAnsi="Times New Roman" w:eastAsia="宋体" w:cs="Times New Roman"/>
                <w:sz w:val="24"/>
              </w:rPr>
              <w:t>）表</w:t>
            </w:r>
            <w:r>
              <w:rPr>
                <w:rFonts w:ascii="Times New Roman" w:hAnsi="Times New Roman" w:eastAsia="宋体" w:cs="Times New Roman"/>
                <w:sz w:val="24"/>
              </w:rPr>
              <w:t>1</w:t>
            </w:r>
            <w:r>
              <w:rPr>
                <w:rFonts w:hint="eastAsia" w:ascii="Times New Roman" w:hAnsi="Times New Roman" w:eastAsia="宋体" w:cs="Times New Roman"/>
                <w:sz w:val="24"/>
              </w:rPr>
              <w:t>中的3类标准。</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 xml:space="preserve">7-7  </w:t>
            </w:r>
            <w:r>
              <w:rPr>
                <w:rFonts w:hint="eastAsia" w:ascii="Times New Roman" w:hAnsi="Times New Roman" w:eastAsia="宋体" w:cs="Times New Roman"/>
                <w:b/>
                <w:bCs/>
                <w:sz w:val="24"/>
              </w:rPr>
              <w:t>噪声监测结果一览表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8"/>
              <w:gridCol w:w="2561"/>
              <w:gridCol w:w="993"/>
              <w:gridCol w:w="1236"/>
              <w:gridCol w:w="747"/>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采样地点</w:t>
                  </w:r>
                </w:p>
              </w:tc>
              <w:tc>
                <w:tcPr>
                  <w:tcW w:w="3857" w:type="pct"/>
                  <w:gridSpan w:val="5"/>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昼间Leq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Merge w:val="continue"/>
                  <w:vAlign w:val="center"/>
                </w:tcPr>
                <w:p>
                  <w:pPr>
                    <w:jc w:val="center"/>
                    <w:rPr>
                      <w:rFonts w:ascii="Times New Roman" w:hAnsi="Times New Roman" w:eastAsia="宋体" w:cs="Times New Roman"/>
                      <w:b/>
                      <w:bCs/>
                      <w:szCs w:val="21"/>
                    </w:rPr>
                  </w:pPr>
                </w:p>
              </w:tc>
              <w:tc>
                <w:tcPr>
                  <w:tcW w:w="1457"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测量时间</w:t>
                  </w:r>
                </w:p>
              </w:tc>
              <w:tc>
                <w:tcPr>
                  <w:tcW w:w="56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测量值</w:t>
                  </w:r>
                </w:p>
              </w:tc>
              <w:tc>
                <w:tcPr>
                  <w:tcW w:w="703"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声源类型</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标准</w:t>
                  </w:r>
                </w:p>
                <w:p>
                  <w:pPr>
                    <w:jc w:val="center"/>
                    <w:rPr>
                      <w:rFonts w:ascii="Times New Roman" w:hAnsi="Times New Roman" w:eastAsia="宋体" w:cs="Times New Roman"/>
                      <w:b/>
                      <w:bCs/>
                      <w:szCs w:val="21"/>
                    </w:rPr>
                  </w:pPr>
                  <w:r>
                    <w:rPr>
                      <w:rFonts w:ascii="Times New Roman" w:hAnsi="Times New Roman" w:eastAsia="宋体" w:cs="Times New Roman"/>
                      <w:b/>
                      <w:bCs/>
                      <w:szCs w:val="21"/>
                    </w:rPr>
                    <w:t>限值</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厂界外1m处Z1</w:t>
                  </w:r>
                </w:p>
              </w:tc>
              <w:tc>
                <w:tcPr>
                  <w:tcW w:w="1457" w:type="pct"/>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8月31日</w:t>
                  </w:r>
                  <w:r>
                    <w:rPr>
                      <w:rFonts w:ascii="Times New Roman" w:hAnsi="Times New Roman" w:eastAsia="宋体" w:cs="Times New Roman"/>
                      <w:szCs w:val="21"/>
                    </w:rPr>
                    <w:t>8:30-9:23</w:t>
                  </w: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62.7</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65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厂界外1m处Z2</w:t>
                  </w:r>
                </w:p>
              </w:tc>
              <w:tc>
                <w:tcPr>
                  <w:tcW w:w="1457" w:type="pct"/>
                  <w:vMerge w:val="continue"/>
                  <w:vAlign w:val="center"/>
                </w:tcPr>
                <w:p>
                  <w:pPr>
                    <w:jc w:val="center"/>
                    <w:rPr>
                      <w:rFonts w:ascii="Times New Roman" w:hAnsi="Times New Roman" w:eastAsia="宋体" w:cs="Times New Roman"/>
                      <w:szCs w:val="21"/>
                    </w:rPr>
                  </w:pP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63.7</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65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厂界外1m处Z3</w:t>
                  </w:r>
                </w:p>
              </w:tc>
              <w:tc>
                <w:tcPr>
                  <w:tcW w:w="1457" w:type="pct"/>
                  <w:vMerge w:val="continue"/>
                  <w:vAlign w:val="center"/>
                </w:tcPr>
                <w:p>
                  <w:pPr>
                    <w:jc w:val="center"/>
                    <w:rPr>
                      <w:rFonts w:ascii="Times New Roman" w:hAnsi="Times New Roman" w:eastAsia="宋体" w:cs="Times New Roman"/>
                      <w:szCs w:val="21"/>
                    </w:rPr>
                  </w:pP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62.0</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65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厂界外1m处Z4</w:t>
                  </w:r>
                </w:p>
              </w:tc>
              <w:tc>
                <w:tcPr>
                  <w:tcW w:w="1457" w:type="pct"/>
                  <w:vMerge w:val="continue"/>
                  <w:vAlign w:val="center"/>
                </w:tcPr>
                <w:p>
                  <w:pPr>
                    <w:jc w:val="center"/>
                    <w:rPr>
                      <w:rFonts w:ascii="Times New Roman" w:hAnsi="Times New Roman" w:eastAsia="宋体" w:cs="Times New Roman"/>
                      <w:szCs w:val="21"/>
                    </w:rPr>
                  </w:pP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62.2</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65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厂界外1m处Z1</w:t>
                  </w:r>
                </w:p>
              </w:tc>
              <w:tc>
                <w:tcPr>
                  <w:tcW w:w="1457" w:type="pct"/>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9月1日</w:t>
                  </w:r>
                  <w:r>
                    <w:rPr>
                      <w:rFonts w:ascii="Times New Roman" w:hAnsi="Times New Roman" w:eastAsia="宋体" w:cs="Times New Roman"/>
                      <w:szCs w:val="21"/>
                    </w:rPr>
                    <w:t>8:24-9:17</w:t>
                  </w: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62.3</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65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厂界外1m处Z2</w:t>
                  </w:r>
                </w:p>
              </w:tc>
              <w:tc>
                <w:tcPr>
                  <w:tcW w:w="1457" w:type="pct"/>
                  <w:vMerge w:val="continue"/>
                  <w:vAlign w:val="center"/>
                </w:tcPr>
                <w:p>
                  <w:pPr>
                    <w:jc w:val="center"/>
                    <w:rPr>
                      <w:rFonts w:ascii="Times New Roman" w:hAnsi="Times New Roman" w:eastAsia="宋体" w:cs="Times New Roman"/>
                      <w:szCs w:val="21"/>
                    </w:rPr>
                  </w:pP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62.7</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65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厂界外1m处Z3</w:t>
                  </w:r>
                </w:p>
              </w:tc>
              <w:tc>
                <w:tcPr>
                  <w:tcW w:w="1457" w:type="pct"/>
                  <w:vMerge w:val="continue"/>
                  <w:vAlign w:val="center"/>
                </w:tcPr>
                <w:p>
                  <w:pPr>
                    <w:jc w:val="center"/>
                    <w:rPr>
                      <w:rFonts w:ascii="Times New Roman" w:hAnsi="Times New Roman" w:eastAsia="宋体" w:cs="Times New Roman"/>
                      <w:szCs w:val="21"/>
                    </w:rPr>
                  </w:pP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64.0</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65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厂界外1m处Z4</w:t>
                  </w:r>
                </w:p>
              </w:tc>
              <w:tc>
                <w:tcPr>
                  <w:tcW w:w="1457" w:type="pct"/>
                  <w:vMerge w:val="continue"/>
                  <w:vAlign w:val="center"/>
                </w:tcPr>
                <w:p>
                  <w:pPr>
                    <w:jc w:val="center"/>
                    <w:rPr>
                      <w:rFonts w:ascii="Times New Roman" w:hAnsi="Times New Roman" w:eastAsia="宋体" w:cs="Times New Roman"/>
                      <w:szCs w:val="21"/>
                    </w:rPr>
                  </w:pP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64.0</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65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采样地点</w:t>
                  </w:r>
                </w:p>
              </w:tc>
              <w:tc>
                <w:tcPr>
                  <w:tcW w:w="3857" w:type="pct"/>
                  <w:gridSpan w:val="5"/>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夜间Leq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Merge w:val="continue"/>
                  <w:vAlign w:val="center"/>
                </w:tcPr>
                <w:p>
                  <w:pPr>
                    <w:jc w:val="center"/>
                    <w:rPr>
                      <w:rFonts w:ascii="Times New Roman" w:hAnsi="Times New Roman" w:eastAsia="宋体" w:cs="Times New Roman"/>
                      <w:b/>
                      <w:bCs/>
                      <w:szCs w:val="21"/>
                    </w:rPr>
                  </w:pPr>
                </w:p>
              </w:tc>
              <w:tc>
                <w:tcPr>
                  <w:tcW w:w="1457"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测量时间</w:t>
                  </w:r>
                </w:p>
              </w:tc>
              <w:tc>
                <w:tcPr>
                  <w:tcW w:w="56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测量值</w:t>
                  </w:r>
                </w:p>
              </w:tc>
              <w:tc>
                <w:tcPr>
                  <w:tcW w:w="703"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声源类型</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标准</w:t>
                  </w:r>
                </w:p>
                <w:p>
                  <w:pPr>
                    <w:jc w:val="center"/>
                    <w:rPr>
                      <w:rFonts w:ascii="Times New Roman" w:hAnsi="Times New Roman" w:eastAsia="宋体" w:cs="Times New Roman"/>
                      <w:b/>
                      <w:bCs/>
                      <w:szCs w:val="21"/>
                    </w:rPr>
                  </w:pPr>
                  <w:r>
                    <w:rPr>
                      <w:rFonts w:ascii="Times New Roman" w:hAnsi="Times New Roman" w:eastAsia="宋体" w:cs="Times New Roman"/>
                      <w:b/>
                      <w:bCs/>
                      <w:szCs w:val="21"/>
                    </w:rPr>
                    <w:t>限值</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厂界外1m处Z1</w:t>
                  </w:r>
                </w:p>
              </w:tc>
              <w:tc>
                <w:tcPr>
                  <w:tcW w:w="1457" w:type="pct"/>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8月31日</w:t>
                  </w:r>
                  <w:r>
                    <w:rPr>
                      <w:rFonts w:ascii="Times New Roman" w:hAnsi="Times New Roman" w:eastAsia="宋体" w:cs="Times New Roman"/>
                      <w:szCs w:val="21"/>
                    </w:rPr>
                    <w:t>22:01-22:54</w:t>
                  </w: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51.8</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55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厂界外1m处Z2</w:t>
                  </w:r>
                </w:p>
              </w:tc>
              <w:tc>
                <w:tcPr>
                  <w:tcW w:w="1457" w:type="pct"/>
                  <w:vMerge w:val="continue"/>
                  <w:vAlign w:val="center"/>
                </w:tcPr>
                <w:p>
                  <w:pPr>
                    <w:jc w:val="center"/>
                    <w:rPr>
                      <w:rFonts w:ascii="Times New Roman" w:hAnsi="Times New Roman" w:eastAsia="宋体" w:cs="Times New Roman"/>
                      <w:szCs w:val="21"/>
                    </w:rPr>
                  </w:pP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53.3</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55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厂界外1m处Z3</w:t>
                  </w:r>
                </w:p>
              </w:tc>
              <w:tc>
                <w:tcPr>
                  <w:tcW w:w="1457" w:type="pct"/>
                  <w:vMerge w:val="continue"/>
                  <w:vAlign w:val="center"/>
                </w:tcPr>
                <w:p>
                  <w:pPr>
                    <w:jc w:val="center"/>
                    <w:rPr>
                      <w:rFonts w:ascii="Times New Roman" w:hAnsi="Times New Roman" w:eastAsia="宋体" w:cs="Times New Roman"/>
                      <w:szCs w:val="21"/>
                    </w:rPr>
                  </w:pP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52.9</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55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厂界外1m处Z4</w:t>
                  </w:r>
                </w:p>
              </w:tc>
              <w:tc>
                <w:tcPr>
                  <w:tcW w:w="1457" w:type="pct"/>
                  <w:vMerge w:val="continue"/>
                  <w:vAlign w:val="center"/>
                </w:tcPr>
                <w:p>
                  <w:pPr>
                    <w:jc w:val="center"/>
                    <w:rPr>
                      <w:rFonts w:ascii="Times New Roman" w:hAnsi="Times New Roman" w:eastAsia="宋体" w:cs="Times New Roman"/>
                      <w:szCs w:val="21"/>
                    </w:rPr>
                  </w:pP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51.5</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55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厂界外1m处Z1</w:t>
                  </w:r>
                </w:p>
              </w:tc>
              <w:tc>
                <w:tcPr>
                  <w:tcW w:w="1457" w:type="pct"/>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color w:val="000000" w:themeColor="text1"/>
                      <w:szCs w:val="21"/>
                      <w14:textFill>
                        <w14:solidFill>
                          <w14:schemeClr w14:val="tx1"/>
                        </w14:solidFill>
                      </w14:textFill>
                    </w:rPr>
                    <w:t>9月1日</w:t>
                  </w:r>
                  <w:r>
                    <w:rPr>
                      <w:rFonts w:ascii="Times New Roman" w:hAnsi="Times New Roman" w:eastAsia="宋体" w:cs="Times New Roman"/>
                      <w:szCs w:val="21"/>
                    </w:rPr>
                    <w:t>22:02-22:56</w:t>
                  </w: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51.6</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55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厂界外1m处Z2</w:t>
                  </w:r>
                </w:p>
              </w:tc>
              <w:tc>
                <w:tcPr>
                  <w:tcW w:w="1457" w:type="pct"/>
                  <w:vMerge w:val="continue"/>
                  <w:vAlign w:val="center"/>
                </w:tcPr>
                <w:p>
                  <w:pPr>
                    <w:jc w:val="center"/>
                    <w:rPr>
                      <w:rFonts w:ascii="Times New Roman" w:hAnsi="Times New Roman" w:eastAsia="宋体" w:cs="Times New Roman"/>
                      <w:szCs w:val="21"/>
                    </w:rPr>
                  </w:pP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52.8</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55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厂界外1m处Z3</w:t>
                  </w:r>
                </w:p>
              </w:tc>
              <w:tc>
                <w:tcPr>
                  <w:tcW w:w="1457" w:type="pct"/>
                  <w:vMerge w:val="continue"/>
                  <w:vAlign w:val="center"/>
                </w:tcPr>
                <w:p>
                  <w:pPr>
                    <w:jc w:val="center"/>
                    <w:rPr>
                      <w:rFonts w:ascii="Times New Roman" w:hAnsi="Times New Roman" w:eastAsia="宋体" w:cs="Times New Roman"/>
                      <w:szCs w:val="21"/>
                    </w:rPr>
                  </w:pP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52.2</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55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厂界外1m处Z4</w:t>
                  </w:r>
                </w:p>
              </w:tc>
              <w:tc>
                <w:tcPr>
                  <w:tcW w:w="1457" w:type="pct"/>
                  <w:vMerge w:val="continue"/>
                  <w:vAlign w:val="center"/>
                </w:tcPr>
                <w:p>
                  <w:pPr>
                    <w:jc w:val="center"/>
                    <w:rPr>
                      <w:rFonts w:ascii="Times New Roman" w:hAnsi="Times New Roman" w:eastAsia="宋体" w:cs="Times New Roman"/>
                      <w:szCs w:val="21"/>
                    </w:rPr>
                  </w:pPr>
                </w:p>
              </w:tc>
              <w:tc>
                <w:tcPr>
                  <w:tcW w:w="565"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52.9</w:t>
                  </w:r>
                </w:p>
              </w:tc>
              <w:tc>
                <w:tcPr>
                  <w:tcW w:w="703" w:type="pc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工业噪声</w:t>
                  </w:r>
                </w:p>
              </w:tc>
              <w:tc>
                <w:tcPr>
                  <w:tcW w:w="425"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55</w:t>
                  </w:r>
                </w:p>
              </w:tc>
              <w:tc>
                <w:tcPr>
                  <w:tcW w:w="706" w:type="pc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符合</w:t>
                  </w:r>
                </w:p>
              </w:tc>
            </w:tr>
          </w:tbl>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表7</w:t>
            </w:r>
            <w:r>
              <w:rPr>
                <w:rFonts w:ascii="Times New Roman" w:hAnsi="Times New Roman" w:eastAsia="宋体" w:cs="Times New Roman"/>
                <w:sz w:val="24"/>
              </w:rPr>
              <w:t>-7</w:t>
            </w:r>
            <w:r>
              <w:rPr>
                <w:rFonts w:hint="eastAsia" w:ascii="Times New Roman" w:hAnsi="Times New Roman" w:eastAsia="宋体" w:cs="Times New Roman"/>
                <w:sz w:val="24"/>
              </w:rPr>
              <w:t>噪声监测结果表明：</w:t>
            </w:r>
          </w:p>
          <w:p>
            <w:pPr>
              <w:spacing w:line="360" w:lineRule="auto"/>
              <w:ind w:firstLine="480" w:firstLineChars="200"/>
              <w:jc w:val="left"/>
              <w:rPr>
                <w:rFonts w:ascii="Times New Roman" w:hAnsi="Times New Roman" w:eastAsia="宋体" w:cs="Times New Roman"/>
                <w:sz w:val="24"/>
              </w:rPr>
            </w:pPr>
            <w:r>
              <w:rPr>
                <w:rFonts w:ascii="Times New Roman" w:hAnsi="Times New Roman" w:eastAsia="宋体" w:cs="Times New Roman"/>
                <w:sz w:val="24"/>
              </w:rPr>
              <w:sym w:font="Wingdings" w:char="F076"/>
            </w:r>
            <w:r>
              <w:rPr>
                <w:rFonts w:ascii="Times New Roman" w:hAnsi="Times New Roman" w:eastAsia="宋体" w:cs="Times New Roman"/>
                <w:sz w:val="24"/>
              </w:rPr>
              <w:t xml:space="preserve"> </w:t>
            </w:r>
            <w:bookmarkStart w:id="8" w:name="_Hlk46514659"/>
            <w:r>
              <w:rPr>
                <w:rFonts w:hint="eastAsia" w:ascii="Times New Roman" w:hAnsi="Times New Roman" w:eastAsia="宋体" w:cs="Times New Roman"/>
                <w:sz w:val="24"/>
              </w:rPr>
              <w:t>本项目运营期仅在昼间进行生产，厂界Z</w:t>
            </w:r>
            <w:r>
              <w:rPr>
                <w:rFonts w:ascii="Times New Roman" w:hAnsi="Times New Roman" w:eastAsia="宋体" w:cs="Times New Roman"/>
                <w:sz w:val="24"/>
              </w:rPr>
              <w:t>1</w:t>
            </w:r>
            <w:r>
              <w:rPr>
                <w:rFonts w:hint="eastAsia" w:ascii="Times New Roman" w:hAnsi="Times New Roman" w:eastAsia="宋体" w:cs="Times New Roman"/>
                <w:sz w:val="24"/>
              </w:rPr>
              <w:t>、Z</w:t>
            </w:r>
            <w:r>
              <w:rPr>
                <w:rFonts w:ascii="Times New Roman" w:hAnsi="Times New Roman" w:eastAsia="宋体" w:cs="Times New Roman"/>
                <w:sz w:val="24"/>
              </w:rPr>
              <w:t>2</w:t>
            </w:r>
            <w:r>
              <w:rPr>
                <w:rFonts w:hint="eastAsia" w:ascii="Times New Roman" w:hAnsi="Times New Roman" w:eastAsia="宋体" w:cs="Times New Roman"/>
                <w:sz w:val="24"/>
              </w:rPr>
              <w:t>、Z</w:t>
            </w:r>
            <w:r>
              <w:rPr>
                <w:rFonts w:ascii="Times New Roman" w:hAnsi="Times New Roman" w:eastAsia="宋体" w:cs="Times New Roman"/>
                <w:sz w:val="24"/>
              </w:rPr>
              <w:t>3</w:t>
            </w:r>
            <w:r>
              <w:rPr>
                <w:rFonts w:hint="eastAsia" w:ascii="Times New Roman" w:hAnsi="Times New Roman" w:eastAsia="宋体" w:cs="Times New Roman"/>
                <w:sz w:val="24"/>
              </w:rPr>
              <w:t>、Z</w:t>
            </w:r>
            <w:r>
              <w:rPr>
                <w:rFonts w:ascii="Times New Roman" w:hAnsi="Times New Roman" w:eastAsia="宋体" w:cs="Times New Roman"/>
                <w:sz w:val="24"/>
              </w:rPr>
              <w:t>4</w:t>
            </w:r>
            <w:r>
              <w:rPr>
                <w:rFonts w:hint="eastAsia" w:ascii="Times New Roman" w:hAnsi="Times New Roman" w:eastAsia="宋体" w:cs="Times New Roman"/>
                <w:sz w:val="24"/>
              </w:rPr>
              <w:t>监测点噪声检测值为：</w:t>
            </w:r>
            <w:r>
              <w:rPr>
                <w:rFonts w:ascii="Times New Roman" w:hAnsi="Times New Roman" w:eastAsia="宋体" w:cs="Times New Roman"/>
                <w:sz w:val="24"/>
              </w:rPr>
              <w:t>62.0-64.0</w:t>
            </w:r>
            <w:r>
              <w:rPr>
                <w:rFonts w:hint="eastAsia" w:ascii="Times New Roman" w:hAnsi="Times New Roman" w:eastAsia="宋体" w:cs="Times New Roman"/>
                <w:sz w:val="24"/>
              </w:rPr>
              <w:t>d</w:t>
            </w:r>
            <w:r>
              <w:rPr>
                <w:rFonts w:ascii="Times New Roman" w:hAnsi="Times New Roman" w:eastAsia="宋体" w:cs="Times New Roman"/>
                <w:sz w:val="24"/>
              </w:rPr>
              <w:t>B(A)</w:t>
            </w:r>
            <w:r>
              <w:rPr>
                <w:rFonts w:hint="eastAsia" w:ascii="Times New Roman" w:hAnsi="Times New Roman" w:eastAsia="宋体" w:cs="Times New Roman"/>
                <w:sz w:val="24"/>
              </w:rPr>
              <w:t>，满足《工业企业厂界环境噪声排放标准》（</w:t>
            </w:r>
            <w:r>
              <w:rPr>
                <w:rFonts w:ascii="Times New Roman" w:hAnsi="Times New Roman" w:eastAsia="宋体" w:cs="Times New Roman"/>
                <w:sz w:val="24"/>
              </w:rPr>
              <w:t>GB12348-2008</w:t>
            </w:r>
            <w:r>
              <w:rPr>
                <w:rFonts w:hint="eastAsia" w:ascii="Times New Roman" w:hAnsi="Times New Roman" w:eastAsia="宋体" w:cs="Times New Roman"/>
                <w:sz w:val="24"/>
              </w:rPr>
              <w:t>）表</w:t>
            </w:r>
            <w:r>
              <w:rPr>
                <w:rFonts w:ascii="Times New Roman" w:hAnsi="Times New Roman" w:eastAsia="宋体" w:cs="Times New Roman"/>
                <w:sz w:val="24"/>
              </w:rPr>
              <w:t>1</w:t>
            </w:r>
            <w:r>
              <w:rPr>
                <w:rFonts w:hint="eastAsia" w:ascii="Times New Roman" w:hAnsi="Times New Roman" w:eastAsia="宋体" w:cs="Times New Roman"/>
                <w:sz w:val="24"/>
              </w:rPr>
              <w:t>中的3类标准。</w:t>
            </w:r>
            <w:bookmarkEnd w:id="8"/>
          </w:p>
          <w:p>
            <w:pPr>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bCs/>
                <w:sz w:val="24"/>
              </w:rPr>
              <w:t>六、污染物排放总量核算</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、大气污染物排放总量控制情况：</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本项目全年工作3</w:t>
            </w:r>
            <w:r>
              <w:rPr>
                <w:rFonts w:ascii="Times New Roman" w:hAnsi="Times New Roman" w:eastAsia="宋体" w:cs="Times New Roman"/>
                <w:sz w:val="24"/>
              </w:rPr>
              <w:t>00</w:t>
            </w:r>
            <w:r>
              <w:rPr>
                <w:rFonts w:hint="eastAsia" w:ascii="Times New Roman" w:hAnsi="Times New Roman" w:eastAsia="宋体" w:cs="Times New Roman"/>
                <w:sz w:val="24"/>
              </w:rPr>
              <w:t>天，年工作时间为</w:t>
            </w:r>
            <w:r>
              <w:rPr>
                <w:rFonts w:ascii="Times New Roman" w:hAnsi="Times New Roman" w:eastAsia="宋体" w:cs="Times New Roman"/>
                <w:sz w:val="24"/>
              </w:rPr>
              <w:t>2400h</w:t>
            </w:r>
            <w:r>
              <w:rPr>
                <w:rFonts w:hint="eastAsia" w:ascii="Times New Roman" w:hAnsi="Times New Roman" w:eastAsia="宋体" w:cs="Times New Roman"/>
                <w:sz w:val="24"/>
              </w:rPr>
              <w:t>。根据核算本项目实际生产时颗粒物排放总量为</w:t>
            </w:r>
            <w:r>
              <w:rPr>
                <w:rFonts w:hint="eastAsia" w:ascii="Times New Roman" w:hAnsi="Times New Roman" w:eastAsia="宋体" w:cs="Times New Roman"/>
                <w:color w:val="000000" w:themeColor="text1"/>
                <w:sz w:val="24"/>
                <w14:textFill>
                  <w14:solidFill>
                    <w14:schemeClr w14:val="tx1"/>
                  </w14:solidFill>
                </w14:textFill>
              </w:rPr>
              <w:t>0</w:t>
            </w:r>
            <w:r>
              <w:rPr>
                <w:rFonts w:ascii="Times New Roman" w:hAnsi="Times New Roman" w:eastAsia="宋体" w:cs="Times New Roman"/>
                <w:color w:val="000000" w:themeColor="text1"/>
                <w:sz w:val="24"/>
                <w14:textFill>
                  <w14:solidFill>
                    <w14:schemeClr w14:val="tx1"/>
                  </w14:solidFill>
                </w14:textFill>
              </w:rPr>
              <w:t>.22</w:t>
            </w:r>
            <w:r>
              <w:rPr>
                <w:rFonts w:hint="eastAsia" w:ascii="Times New Roman" w:hAnsi="Times New Roman" w:eastAsia="宋体" w:cs="Times New Roman"/>
                <w:color w:val="000000" w:themeColor="text1"/>
                <w:sz w:val="24"/>
                <w14:textFill>
                  <w14:solidFill>
                    <w14:schemeClr w14:val="tx1"/>
                  </w14:solidFill>
                </w14:textFill>
              </w:rPr>
              <w:t>t/a</w:t>
            </w:r>
            <w:r>
              <w:rPr>
                <w:rFonts w:hint="eastAsia" w:ascii="Times New Roman" w:hAnsi="Times New Roman" w:eastAsia="宋体" w:cs="Times New Roman"/>
                <w:sz w:val="24"/>
              </w:rPr>
              <w:t>，符合环评中设计的总量控制指标要求。</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7</w:t>
            </w:r>
            <w:r>
              <w:rPr>
                <w:rFonts w:hint="eastAsia" w:ascii="Times New Roman" w:hAnsi="Times New Roman" w:eastAsia="宋体" w:cs="Times New Roman"/>
                <w:b/>
                <w:bCs/>
                <w:sz w:val="24"/>
              </w:rPr>
              <w:t>-</w:t>
            </w:r>
            <w:r>
              <w:rPr>
                <w:rFonts w:ascii="Times New Roman" w:hAnsi="Times New Roman" w:eastAsia="宋体" w:cs="Times New Roman"/>
                <w:b/>
                <w:bCs/>
                <w:sz w:val="24"/>
              </w:rPr>
              <w:t xml:space="preserve">8  </w:t>
            </w:r>
            <w:r>
              <w:rPr>
                <w:rFonts w:hint="eastAsia" w:ascii="Times New Roman" w:hAnsi="Times New Roman" w:eastAsia="宋体" w:cs="Times New Roman"/>
                <w:b/>
                <w:bCs/>
                <w:sz w:val="24"/>
              </w:rPr>
              <w:t>废气排放总量统计表</w:t>
            </w:r>
          </w:p>
          <w:tbl>
            <w:tblPr>
              <w:tblStyle w:val="17"/>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16"/>
              <w:gridCol w:w="1651"/>
              <w:gridCol w:w="1283"/>
              <w:gridCol w:w="1466"/>
              <w:gridCol w:w="1651"/>
              <w:gridCol w:w="152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01" w:hRule="atLeast"/>
                <w:jc w:val="center"/>
              </w:trPr>
              <w:tc>
                <w:tcPr>
                  <w:tcW w:w="692" w:type="pct"/>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污染物</w:t>
                  </w:r>
                </w:p>
              </w:tc>
              <w:tc>
                <w:tcPr>
                  <w:tcW w:w="939" w:type="pct"/>
                  <w:shd w:val="clear" w:color="auto" w:fill="FFFFFF" w:themeFill="background1"/>
                  <w:vAlign w:val="center"/>
                </w:tcPr>
                <w:p>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Cs w:val="21"/>
                    </w:rPr>
                    <w:t>实际排放速率(kg</w:t>
                  </w:r>
                  <w:r>
                    <w:rPr>
                      <w:rFonts w:ascii="Times New Roman" w:hAnsi="Times New Roman" w:eastAsia="宋体" w:cs="Times New Roman"/>
                      <w:b/>
                      <w:bCs/>
                      <w:kern w:val="0"/>
                      <w:szCs w:val="21"/>
                    </w:rPr>
                    <w:t>/h</w:t>
                  </w:r>
                  <w:r>
                    <w:rPr>
                      <w:rFonts w:hint="eastAsia" w:ascii="Times New Roman" w:hAnsi="Times New Roman" w:eastAsia="宋体" w:cs="Times New Roman"/>
                      <w:b/>
                      <w:bCs/>
                      <w:kern w:val="0"/>
                      <w:szCs w:val="21"/>
                    </w:rPr>
                    <w:t>)</w:t>
                  </w:r>
                </w:p>
              </w:tc>
              <w:tc>
                <w:tcPr>
                  <w:tcW w:w="730" w:type="pct"/>
                  <w:shd w:val="clear" w:color="auto" w:fill="FFFFFF" w:themeFill="background1"/>
                  <w:vAlign w:val="center"/>
                </w:tcPr>
                <w:p>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Cs w:val="21"/>
                    </w:rPr>
                    <w:t>年排放时间(h)</w:t>
                  </w:r>
                </w:p>
              </w:tc>
              <w:tc>
                <w:tcPr>
                  <w:tcW w:w="834" w:type="pct"/>
                  <w:shd w:val="clear" w:color="auto" w:fill="FFFFFF" w:themeFill="background1"/>
                  <w:vAlign w:val="center"/>
                </w:tcPr>
                <w:p>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Cs w:val="21"/>
                    </w:rPr>
                    <w:t>环评批复总量(t/a)</w:t>
                  </w:r>
                </w:p>
              </w:tc>
              <w:tc>
                <w:tcPr>
                  <w:tcW w:w="939" w:type="pct"/>
                  <w:shd w:val="clear" w:color="auto" w:fill="FFFFFF" w:themeFill="background1"/>
                  <w:vAlign w:val="center"/>
                </w:tcPr>
                <w:p>
                  <w:pPr>
                    <w:jc w:val="center"/>
                    <w:rPr>
                      <w:rFonts w:ascii="Times New Roman" w:hAnsi="Times New Roman" w:eastAsia="宋体" w:cs="Times New Roman"/>
                      <w:b/>
                      <w:bCs/>
                      <w:kern w:val="0"/>
                      <w:sz w:val="20"/>
                      <w:szCs w:val="21"/>
                    </w:rPr>
                  </w:pPr>
                  <w:r>
                    <w:rPr>
                      <w:rFonts w:hint="eastAsia" w:ascii="Times New Roman" w:hAnsi="Times New Roman" w:eastAsia="宋体" w:cs="Times New Roman"/>
                      <w:b/>
                      <w:bCs/>
                      <w:kern w:val="0"/>
                      <w:szCs w:val="21"/>
                    </w:rPr>
                    <w:t>实际排放总量(t/a)</w:t>
                  </w:r>
                </w:p>
              </w:tc>
              <w:tc>
                <w:tcPr>
                  <w:tcW w:w="865" w:type="pct"/>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是否满足总量要求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6" w:hRule="atLeast"/>
                <w:jc w:val="center"/>
              </w:trPr>
              <w:tc>
                <w:tcPr>
                  <w:tcW w:w="692" w:type="pct"/>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颗粒物</w:t>
                  </w:r>
                </w:p>
              </w:tc>
              <w:tc>
                <w:tcPr>
                  <w:tcW w:w="939" w:type="pct"/>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w:t>
                  </w:r>
                  <w:r>
                    <w:rPr>
                      <w:rFonts w:ascii="Times New Roman" w:hAnsi="Times New Roman" w:eastAsia="宋体" w:cs="Times New Roman"/>
                      <w:kern w:val="0"/>
                      <w:sz w:val="20"/>
                      <w:szCs w:val="21"/>
                    </w:rPr>
                    <w:t>.092</w:t>
                  </w:r>
                </w:p>
              </w:tc>
              <w:tc>
                <w:tcPr>
                  <w:tcW w:w="730" w:type="pct"/>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2</w:t>
                  </w:r>
                  <w:r>
                    <w:rPr>
                      <w:rFonts w:ascii="Times New Roman" w:hAnsi="Times New Roman" w:eastAsia="宋体" w:cs="Times New Roman"/>
                      <w:kern w:val="0"/>
                      <w:sz w:val="20"/>
                      <w:szCs w:val="21"/>
                    </w:rPr>
                    <w:t>400</w:t>
                  </w:r>
                </w:p>
              </w:tc>
              <w:tc>
                <w:tcPr>
                  <w:tcW w:w="834" w:type="pct"/>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w:t>
                  </w:r>
                  <w:r>
                    <w:rPr>
                      <w:rFonts w:ascii="Times New Roman" w:hAnsi="Times New Roman" w:eastAsia="宋体" w:cs="Times New Roman"/>
                      <w:kern w:val="0"/>
                      <w:sz w:val="20"/>
                      <w:szCs w:val="21"/>
                    </w:rPr>
                    <w:t>.28</w:t>
                  </w:r>
                </w:p>
              </w:tc>
              <w:tc>
                <w:tcPr>
                  <w:tcW w:w="939" w:type="pct"/>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w:t>
                  </w:r>
                  <w:r>
                    <w:rPr>
                      <w:rFonts w:ascii="Times New Roman" w:hAnsi="Times New Roman" w:eastAsia="宋体" w:cs="Times New Roman"/>
                      <w:kern w:val="0"/>
                      <w:sz w:val="20"/>
                      <w:szCs w:val="21"/>
                    </w:rPr>
                    <w:t>.22</w:t>
                  </w:r>
                </w:p>
              </w:tc>
              <w:tc>
                <w:tcPr>
                  <w:tcW w:w="865" w:type="pct"/>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Cs w:val="21"/>
                    </w:rPr>
                    <w:t>满足</w:t>
                  </w: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、水污染物排放总量控制情况：</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本项目生活废水经化粪池处理，生产废水经厂区自建污水站处理后，通过市政管网排入盐城市大丰经济开发区污水处理厂集中处理。本项目设计废水量为</w:t>
            </w:r>
            <w:r>
              <w:rPr>
                <w:rFonts w:ascii="Times New Roman" w:hAnsi="Times New Roman" w:eastAsia="宋体" w:cs="Times New Roman"/>
                <w:sz w:val="24"/>
              </w:rPr>
              <w:t>4700</w:t>
            </w:r>
            <w:r>
              <w:rPr>
                <w:rFonts w:hint="eastAsia" w:ascii="Times New Roman" w:hAnsi="Times New Roman" w:eastAsia="宋体" w:cs="Times New Roman"/>
                <w:sz w:val="24"/>
              </w:rPr>
              <w:t>t/a，根据检测结果，废水排放总量见表7-</w:t>
            </w:r>
            <w:r>
              <w:rPr>
                <w:rFonts w:ascii="Times New Roman" w:hAnsi="Times New Roman" w:eastAsia="宋体" w:cs="Times New Roman"/>
                <w:sz w:val="24"/>
              </w:rPr>
              <w:t>9</w:t>
            </w:r>
            <w:r>
              <w:rPr>
                <w:rFonts w:hint="eastAsia" w:ascii="Times New Roman" w:hAnsi="Times New Roman" w:eastAsia="宋体" w:cs="Times New Roman"/>
                <w:sz w:val="24"/>
              </w:rPr>
              <w:t>。</w:t>
            </w:r>
          </w:p>
          <w:p>
            <w:pPr>
              <w:spacing w:line="360" w:lineRule="auto"/>
              <w:jc w:val="center"/>
              <w:rPr>
                <w:rFonts w:ascii="Times New Roman" w:hAnsi="Times New Roman" w:eastAsia="宋体" w:cs="Times New Roman"/>
                <w:b/>
                <w:bCs/>
                <w:sz w:val="24"/>
              </w:rPr>
            </w:pPr>
            <w:r>
              <w:rPr>
                <w:rFonts w:hint="eastAsia" w:ascii="Times New Roman" w:hAnsi="Times New Roman" w:eastAsia="宋体" w:cs="Times New Roman"/>
                <w:b/>
                <w:bCs/>
                <w:sz w:val="24"/>
              </w:rPr>
              <w:t>表</w:t>
            </w:r>
            <w:r>
              <w:rPr>
                <w:rFonts w:ascii="Times New Roman" w:hAnsi="Times New Roman" w:eastAsia="宋体" w:cs="Times New Roman"/>
                <w:b/>
                <w:bCs/>
                <w:sz w:val="24"/>
              </w:rPr>
              <w:t>7</w:t>
            </w:r>
            <w:r>
              <w:rPr>
                <w:rFonts w:hint="eastAsia" w:ascii="Times New Roman" w:hAnsi="Times New Roman" w:eastAsia="宋体" w:cs="Times New Roman"/>
                <w:b/>
                <w:bCs/>
                <w:sz w:val="24"/>
              </w:rPr>
              <w:t>-</w:t>
            </w:r>
            <w:r>
              <w:rPr>
                <w:rFonts w:ascii="Times New Roman" w:hAnsi="Times New Roman" w:eastAsia="宋体" w:cs="Times New Roman"/>
                <w:b/>
                <w:bCs/>
                <w:sz w:val="24"/>
              </w:rPr>
              <w:t xml:space="preserve">9  </w:t>
            </w:r>
            <w:r>
              <w:rPr>
                <w:rFonts w:hint="eastAsia" w:ascii="Times New Roman" w:hAnsi="Times New Roman" w:eastAsia="宋体" w:cs="Times New Roman"/>
                <w:b/>
                <w:bCs/>
                <w:sz w:val="24"/>
              </w:rPr>
              <w:t>生产废水废水排放总量统计表</w:t>
            </w:r>
          </w:p>
          <w:tbl>
            <w:tblPr>
              <w:tblStyle w:val="1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79"/>
              <w:gridCol w:w="1436"/>
              <w:gridCol w:w="1403"/>
              <w:gridCol w:w="1772"/>
              <w:gridCol w:w="1417"/>
              <w:gridCol w:w="138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79" w:type="dxa"/>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污染物因子</w:t>
                  </w:r>
                </w:p>
              </w:tc>
              <w:tc>
                <w:tcPr>
                  <w:tcW w:w="1436" w:type="dxa"/>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排放浓度（m</w:t>
                  </w:r>
                  <w:r>
                    <w:rPr>
                      <w:rFonts w:ascii="Times New Roman" w:hAnsi="Times New Roman" w:eastAsia="宋体" w:cs="Times New Roman"/>
                      <w:b/>
                      <w:bCs/>
                      <w:kern w:val="0"/>
                      <w:szCs w:val="21"/>
                    </w:rPr>
                    <w:t>g/L</w:t>
                  </w:r>
                  <w:r>
                    <w:rPr>
                      <w:rFonts w:hint="eastAsia" w:ascii="Times New Roman" w:hAnsi="Times New Roman" w:eastAsia="宋体" w:cs="Times New Roman"/>
                      <w:b/>
                      <w:bCs/>
                      <w:kern w:val="0"/>
                      <w:szCs w:val="21"/>
                    </w:rPr>
                    <w:t>）</w:t>
                  </w:r>
                </w:p>
              </w:tc>
              <w:tc>
                <w:tcPr>
                  <w:tcW w:w="1403" w:type="dxa"/>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排放量（t）</w:t>
                  </w:r>
                </w:p>
              </w:tc>
              <w:tc>
                <w:tcPr>
                  <w:tcW w:w="1772" w:type="dxa"/>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实际排放总量（t</w:t>
                  </w:r>
                  <w:r>
                    <w:rPr>
                      <w:rFonts w:ascii="Times New Roman" w:hAnsi="Times New Roman" w:eastAsia="宋体" w:cs="Times New Roman"/>
                      <w:b/>
                      <w:bCs/>
                      <w:kern w:val="0"/>
                      <w:szCs w:val="21"/>
                    </w:rPr>
                    <w:t>/a</w:t>
                  </w:r>
                  <w:r>
                    <w:rPr>
                      <w:rFonts w:hint="eastAsia" w:ascii="Times New Roman" w:hAnsi="Times New Roman" w:eastAsia="宋体" w:cs="Times New Roman"/>
                      <w:b/>
                      <w:bCs/>
                      <w:kern w:val="0"/>
                      <w:szCs w:val="21"/>
                    </w:rPr>
                    <w:t>）</w:t>
                  </w:r>
                </w:p>
              </w:tc>
              <w:tc>
                <w:tcPr>
                  <w:tcW w:w="1417" w:type="dxa"/>
                  <w:shd w:val="clear" w:color="auto" w:fill="FFFFFF" w:themeFill="background1"/>
                  <w:vAlign w:val="center"/>
                </w:tcPr>
                <w:p>
                  <w:pPr>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环评批复总量（t</w:t>
                  </w:r>
                  <w:r>
                    <w:rPr>
                      <w:rFonts w:ascii="Times New Roman" w:hAnsi="Times New Roman" w:eastAsia="宋体" w:cs="Times New Roman"/>
                      <w:b/>
                      <w:bCs/>
                      <w:kern w:val="0"/>
                      <w:szCs w:val="21"/>
                    </w:rPr>
                    <w:t>/a</w:t>
                  </w:r>
                  <w:r>
                    <w:rPr>
                      <w:rFonts w:hint="eastAsia" w:ascii="Times New Roman" w:hAnsi="Times New Roman" w:eastAsia="宋体" w:cs="Times New Roman"/>
                      <w:b/>
                      <w:bCs/>
                      <w:kern w:val="0"/>
                      <w:szCs w:val="21"/>
                    </w:rPr>
                    <w:t>）</w:t>
                  </w:r>
                </w:p>
              </w:tc>
              <w:tc>
                <w:tcPr>
                  <w:tcW w:w="1381"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b/>
                      <w:bCs/>
                      <w:kern w:val="0"/>
                      <w:szCs w:val="21"/>
                    </w:rPr>
                    <w:t>是否满足总量要求</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379"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hint="eastAsia" w:ascii="Times New Roman" w:hAnsi="Times New Roman" w:eastAsia="宋体" w:cs="Times New Roman"/>
                      <w:kern w:val="0"/>
                      <w:szCs w:val="21"/>
                    </w:rPr>
                    <w:t>化学需氧量</w:t>
                  </w:r>
                </w:p>
              </w:tc>
              <w:tc>
                <w:tcPr>
                  <w:tcW w:w="1436"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color w:val="000000"/>
                      <w:kern w:val="0"/>
                      <w:sz w:val="20"/>
                    </w:rPr>
                    <w:t>173</w:t>
                  </w:r>
                </w:p>
              </w:tc>
              <w:tc>
                <w:tcPr>
                  <w:tcW w:w="1403" w:type="dxa"/>
                  <w:vMerge w:val="restart"/>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4700</w:t>
                  </w:r>
                </w:p>
              </w:tc>
              <w:tc>
                <w:tcPr>
                  <w:tcW w:w="1772"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r>
                    <w:rPr>
                      <w:rFonts w:ascii="Times New Roman" w:hAnsi="Times New Roman" w:eastAsia="宋体" w:cs="Times New Roman"/>
                      <w:kern w:val="0"/>
                      <w:szCs w:val="21"/>
                    </w:rPr>
                    <w:t>.813100</w:t>
                  </w:r>
                </w:p>
              </w:tc>
              <w:tc>
                <w:tcPr>
                  <w:tcW w:w="1417" w:type="dxa"/>
                  <w:shd w:val="clear" w:color="auto" w:fill="FFFFFF" w:themeFill="background1"/>
                  <w:vAlign w:val="center"/>
                </w:tcPr>
                <w:p>
                  <w:pPr>
                    <w:jc w:val="center"/>
                    <w:rPr>
                      <w:rFonts w:ascii="Times New Roman" w:hAnsi="Times New Roman" w:eastAsia="宋体" w:cs="Times New Roman"/>
                      <w:kern w:val="0"/>
                      <w:szCs w:val="21"/>
                    </w:rPr>
                  </w:pPr>
                  <w:r>
                    <w:rPr>
                      <w:rFonts w:ascii="Times New Roman" w:hAnsi="Times New Roman" w:eastAsia="宋体" w:cs="Times New Roman"/>
                      <w:kern w:val="0"/>
                      <w:szCs w:val="21"/>
                    </w:rPr>
                    <w:t>1.56</w:t>
                  </w:r>
                </w:p>
              </w:tc>
              <w:tc>
                <w:tcPr>
                  <w:tcW w:w="1381"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满足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79"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hint="eastAsia" w:ascii="Times New Roman" w:hAnsi="Times New Roman" w:eastAsia="宋体" w:cs="Times New Roman"/>
                      <w:kern w:val="0"/>
                      <w:szCs w:val="21"/>
                    </w:rPr>
                    <w:t>悬浮物</w:t>
                  </w:r>
                </w:p>
              </w:tc>
              <w:tc>
                <w:tcPr>
                  <w:tcW w:w="1436"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color w:val="000000"/>
                      <w:kern w:val="0"/>
                      <w:sz w:val="20"/>
                    </w:rPr>
                    <w:t>21</w:t>
                  </w:r>
                </w:p>
              </w:tc>
              <w:tc>
                <w:tcPr>
                  <w:tcW w:w="1403"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772"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r>
                    <w:rPr>
                      <w:rFonts w:ascii="Times New Roman" w:hAnsi="Times New Roman" w:eastAsia="宋体" w:cs="Times New Roman"/>
                      <w:kern w:val="0"/>
                      <w:szCs w:val="21"/>
                    </w:rPr>
                    <w:t>.098700</w:t>
                  </w:r>
                </w:p>
              </w:tc>
              <w:tc>
                <w:tcPr>
                  <w:tcW w:w="1417"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r>
                    <w:rPr>
                      <w:rFonts w:ascii="Times New Roman" w:hAnsi="Times New Roman" w:eastAsia="宋体" w:cs="Times New Roman"/>
                      <w:kern w:val="0"/>
                      <w:szCs w:val="21"/>
                    </w:rPr>
                    <w:t>.39</w:t>
                  </w:r>
                </w:p>
              </w:tc>
              <w:tc>
                <w:tcPr>
                  <w:tcW w:w="1381"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满足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79" w:type="dxa"/>
                  <w:shd w:val="clear" w:color="auto" w:fill="FFFFFF" w:themeFill="background1"/>
                  <w:vAlign w:val="center"/>
                </w:tcPr>
                <w:p>
                  <w:pPr>
                    <w:jc w:val="center"/>
                    <w:rPr>
                      <w:rFonts w:ascii="Times New Roman" w:hAnsi="Times New Roman" w:eastAsia="宋体" w:cs="Times New Roman"/>
                      <w:kern w:val="0"/>
                      <w:szCs w:val="21"/>
                      <w:highlight w:val="yellow"/>
                    </w:rPr>
                  </w:pPr>
                  <w:r>
                    <w:rPr>
                      <w:rFonts w:hint="eastAsia" w:ascii="Times New Roman" w:hAnsi="Times New Roman" w:eastAsia="宋体" w:cs="Times New Roman"/>
                      <w:kern w:val="0"/>
                      <w:szCs w:val="21"/>
                    </w:rPr>
                    <w:t>石油类</w:t>
                  </w:r>
                </w:p>
              </w:tc>
              <w:tc>
                <w:tcPr>
                  <w:tcW w:w="1436"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color w:val="000000"/>
                      <w:kern w:val="0"/>
                      <w:sz w:val="20"/>
                    </w:rPr>
                    <w:t>0.07</w:t>
                  </w:r>
                </w:p>
              </w:tc>
              <w:tc>
                <w:tcPr>
                  <w:tcW w:w="1403" w:type="dxa"/>
                  <w:vMerge w:val="continue"/>
                  <w:shd w:val="clear" w:color="auto" w:fill="FFFFFF" w:themeFill="background1"/>
                  <w:vAlign w:val="center"/>
                </w:tcPr>
                <w:p>
                  <w:pPr>
                    <w:jc w:val="center"/>
                    <w:rPr>
                      <w:rFonts w:ascii="Times New Roman" w:hAnsi="Times New Roman" w:eastAsia="宋体" w:cs="Times New Roman"/>
                      <w:kern w:val="0"/>
                      <w:szCs w:val="21"/>
                    </w:rPr>
                  </w:pPr>
                </w:p>
              </w:tc>
              <w:tc>
                <w:tcPr>
                  <w:tcW w:w="1772"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r>
                    <w:rPr>
                      <w:rFonts w:ascii="Times New Roman" w:hAnsi="Times New Roman" w:eastAsia="宋体" w:cs="Times New Roman"/>
                      <w:kern w:val="0"/>
                      <w:szCs w:val="21"/>
                    </w:rPr>
                    <w:t>.000329</w:t>
                  </w:r>
                </w:p>
              </w:tc>
              <w:tc>
                <w:tcPr>
                  <w:tcW w:w="1417"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0</w:t>
                  </w:r>
                  <w:r>
                    <w:rPr>
                      <w:rFonts w:ascii="Times New Roman" w:hAnsi="Times New Roman" w:eastAsia="宋体" w:cs="Times New Roman"/>
                      <w:kern w:val="0"/>
                      <w:szCs w:val="21"/>
                    </w:rPr>
                    <w:t>.019</w:t>
                  </w:r>
                </w:p>
              </w:tc>
              <w:tc>
                <w:tcPr>
                  <w:tcW w:w="1381" w:type="dxa"/>
                  <w:shd w:val="clear" w:color="auto" w:fill="FFFFFF" w:themeFill="background1"/>
                  <w:vAlign w:val="center"/>
                </w:tcPr>
                <w:p>
                  <w:pPr>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满足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79"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总磷</w:t>
                  </w:r>
                </w:p>
              </w:tc>
              <w:tc>
                <w:tcPr>
                  <w:tcW w:w="1436"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rPr>
                    <w:t>3</w:t>
                  </w:r>
                  <w:r>
                    <w:rPr>
                      <w:rFonts w:ascii="Times New Roman" w:hAnsi="Times New Roman" w:eastAsia="宋体" w:cs="Times New Roman"/>
                      <w:kern w:val="0"/>
                      <w:sz w:val="20"/>
                    </w:rPr>
                    <w:t>.11</w:t>
                  </w:r>
                </w:p>
              </w:tc>
              <w:tc>
                <w:tcPr>
                  <w:tcW w:w="1403" w:type="dxa"/>
                  <w:vMerge w:val="continue"/>
                  <w:shd w:val="clear" w:color="auto" w:fill="FFFFFF" w:themeFill="background1"/>
                  <w:vAlign w:val="center"/>
                </w:tcPr>
                <w:p>
                  <w:pPr>
                    <w:jc w:val="center"/>
                    <w:rPr>
                      <w:rFonts w:ascii="Times New Roman" w:hAnsi="Times New Roman" w:eastAsia="宋体" w:cs="Times New Roman"/>
                      <w:kern w:val="0"/>
                      <w:sz w:val="20"/>
                      <w:szCs w:val="21"/>
                      <w:highlight w:val="yellow"/>
                    </w:rPr>
                  </w:pPr>
                </w:p>
              </w:tc>
              <w:tc>
                <w:tcPr>
                  <w:tcW w:w="1772"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w:t>
                  </w:r>
                  <w:r>
                    <w:rPr>
                      <w:rFonts w:ascii="Times New Roman" w:hAnsi="Times New Roman" w:eastAsia="宋体" w:cs="Times New Roman"/>
                      <w:kern w:val="0"/>
                      <w:sz w:val="20"/>
                      <w:szCs w:val="21"/>
                    </w:rPr>
                    <w:t>.014617</w:t>
                  </w:r>
                </w:p>
              </w:tc>
              <w:tc>
                <w:tcPr>
                  <w:tcW w:w="1417"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w:t>
                  </w:r>
                  <w:r>
                    <w:rPr>
                      <w:rFonts w:ascii="Times New Roman" w:hAnsi="Times New Roman" w:eastAsia="宋体" w:cs="Times New Roman"/>
                      <w:kern w:val="0"/>
                      <w:sz w:val="20"/>
                      <w:szCs w:val="21"/>
                    </w:rPr>
                    <w:t>.016</w:t>
                  </w:r>
                </w:p>
              </w:tc>
              <w:tc>
                <w:tcPr>
                  <w:tcW w:w="1381" w:type="dxa"/>
                  <w:shd w:val="clear" w:color="auto" w:fill="FFFFFF" w:themeFill="background1"/>
                  <w:vAlign w:val="center"/>
                </w:tcPr>
                <w:p>
                  <w:pPr>
                    <w:jc w:val="center"/>
                    <w:rPr>
                      <w:rFonts w:ascii="Times New Roman" w:hAnsi="Times New Roman" w:eastAsia="宋体" w:cs="Times New Roman"/>
                      <w:kern w:val="0"/>
                      <w:sz w:val="20"/>
                      <w:szCs w:val="21"/>
                      <w:highlight w:val="yellow"/>
                    </w:rPr>
                  </w:pPr>
                  <w:r>
                    <w:rPr>
                      <w:rFonts w:hint="eastAsia" w:ascii="Times New Roman" w:hAnsi="Times New Roman" w:eastAsia="宋体" w:cs="Times New Roman"/>
                      <w:kern w:val="0"/>
                      <w:szCs w:val="21"/>
                    </w:rPr>
                    <w:t>满足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79"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阴离子表面活性剂</w:t>
                  </w:r>
                </w:p>
              </w:tc>
              <w:tc>
                <w:tcPr>
                  <w:tcW w:w="1436" w:type="dxa"/>
                  <w:shd w:val="clear" w:color="auto" w:fill="FFFFFF" w:themeFill="background1"/>
                  <w:vAlign w:val="center"/>
                </w:tcPr>
                <w:p>
                  <w:pPr>
                    <w:jc w:val="center"/>
                    <w:rPr>
                      <w:rFonts w:ascii="Times New Roman" w:hAnsi="Times New Roman" w:eastAsia="宋体" w:cs="Times New Roman"/>
                      <w:kern w:val="0"/>
                      <w:sz w:val="20"/>
                      <w:szCs w:val="21"/>
                      <w:highlight w:val="yellow"/>
                    </w:rPr>
                  </w:pPr>
                  <w:r>
                    <w:rPr>
                      <w:rFonts w:hint="eastAsia" w:ascii="Times New Roman" w:hAnsi="Times New Roman" w:eastAsia="宋体" w:cs="Times New Roman"/>
                      <w:kern w:val="0"/>
                      <w:sz w:val="20"/>
                    </w:rPr>
                    <w:t>3</w:t>
                  </w:r>
                  <w:r>
                    <w:rPr>
                      <w:rFonts w:ascii="Times New Roman" w:hAnsi="Times New Roman" w:eastAsia="宋体" w:cs="Times New Roman"/>
                      <w:kern w:val="0"/>
                      <w:sz w:val="20"/>
                    </w:rPr>
                    <w:t>.94</w:t>
                  </w:r>
                </w:p>
              </w:tc>
              <w:tc>
                <w:tcPr>
                  <w:tcW w:w="1403" w:type="dxa"/>
                  <w:vMerge w:val="continue"/>
                  <w:shd w:val="clear" w:color="auto" w:fill="FFFFFF" w:themeFill="background1"/>
                  <w:vAlign w:val="center"/>
                </w:tcPr>
                <w:p>
                  <w:pPr>
                    <w:jc w:val="center"/>
                    <w:rPr>
                      <w:rFonts w:ascii="Times New Roman" w:hAnsi="Times New Roman" w:eastAsia="宋体" w:cs="Times New Roman"/>
                      <w:kern w:val="0"/>
                      <w:sz w:val="20"/>
                      <w:szCs w:val="21"/>
                      <w:highlight w:val="yellow"/>
                    </w:rPr>
                  </w:pPr>
                </w:p>
              </w:tc>
              <w:tc>
                <w:tcPr>
                  <w:tcW w:w="1772" w:type="dxa"/>
                  <w:shd w:val="clear" w:color="auto" w:fill="FFFFFF" w:themeFill="background1"/>
                  <w:vAlign w:val="center"/>
                </w:tcPr>
                <w:p>
                  <w:pPr>
                    <w:jc w:val="center"/>
                    <w:rPr>
                      <w:rFonts w:ascii="Times New Roman" w:hAnsi="Times New Roman" w:eastAsia="宋体" w:cs="Times New Roman"/>
                      <w:kern w:val="0"/>
                      <w:sz w:val="20"/>
                      <w:szCs w:val="21"/>
                    </w:rPr>
                  </w:pPr>
                  <w:r>
                    <w:rPr>
                      <w:rFonts w:ascii="Times New Roman" w:hAnsi="Times New Roman" w:eastAsia="宋体" w:cs="Times New Roman"/>
                      <w:kern w:val="0"/>
                      <w:sz w:val="20"/>
                      <w:szCs w:val="21"/>
                    </w:rPr>
                    <w:t>0.018518</w:t>
                  </w:r>
                </w:p>
              </w:tc>
              <w:tc>
                <w:tcPr>
                  <w:tcW w:w="1417"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w:t>
                  </w:r>
                  <w:r>
                    <w:rPr>
                      <w:rFonts w:ascii="Times New Roman" w:hAnsi="Times New Roman" w:eastAsia="宋体" w:cs="Times New Roman"/>
                      <w:kern w:val="0"/>
                      <w:sz w:val="20"/>
                      <w:szCs w:val="21"/>
                    </w:rPr>
                    <w:t>.019</w:t>
                  </w:r>
                </w:p>
              </w:tc>
              <w:tc>
                <w:tcPr>
                  <w:tcW w:w="1381"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Cs w:val="21"/>
                    </w:rPr>
                    <w:t>满足</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79"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锌</w:t>
                  </w:r>
                </w:p>
              </w:tc>
              <w:tc>
                <w:tcPr>
                  <w:tcW w:w="1436"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color w:val="000000"/>
                      <w:kern w:val="0"/>
                      <w:sz w:val="20"/>
                    </w:rPr>
                    <w:t>0.14</w:t>
                  </w:r>
                </w:p>
              </w:tc>
              <w:tc>
                <w:tcPr>
                  <w:tcW w:w="1403" w:type="dxa"/>
                  <w:vMerge w:val="continue"/>
                  <w:shd w:val="clear" w:color="auto" w:fill="FFFFFF" w:themeFill="background1"/>
                  <w:vAlign w:val="center"/>
                </w:tcPr>
                <w:p>
                  <w:pPr>
                    <w:jc w:val="center"/>
                    <w:rPr>
                      <w:rFonts w:ascii="Times New Roman" w:hAnsi="Times New Roman" w:eastAsia="宋体" w:cs="Times New Roman"/>
                      <w:kern w:val="0"/>
                      <w:sz w:val="20"/>
                      <w:szCs w:val="21"/>
                    </w:rPr>
                  </w:pPr>
                </w:p>
              </w:tc>
              <w:tc>
                <w:tcPr>
                  <w:tcW w:w="1772"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w:t>
                  </w:r>
                  <w:r>
                    <w:rPr>
                      <w:rFonts w:ascii="Times New Roman" w:hAnsi="Times New Roman" w:eastAsia="宋体" w:cs="Times New Roman"/>
                      <w:kern w:val="0"/>
                      <w:sz w:val="20"/>
                      <w:szCs w:val="21"/>
                    </w:rPr>
                    <w:t>.000658</w:t>
                  </w:r>
                </w:p>
              </w:tc>
              <w:tc>
                <w:tcPr>
                  <w:tcW w:w="1417"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 w:val="20"/>
                      <w:szCs w:val="21"/>
                    </w:rPr>
                    <w:t>0</w:t>
                  </w:r>
                  <w:r>
                    <w:rPr>
                      <w:rFonts w:ascii="Times New Roman" w:hAnsi="Times New Roman" w:eastAsia="宋体" w:cs="Times New Roman"/>
                      <w:kern w:val="0"/>
                      <w:sz w:val="20"/>
                      <w:szCs w:val="21"/>
                    </w:rPr>
                    <w:t>.008</w:t>
                  </w:r>
                </w:p>
              </w:tc>
              <w:tc>
                <w:tcPr>
                  <w:tcW w:w="1381" w:type="dxa"/>
                  <w:shd w:val="clear" w:color="auto" w:fill="FFFFFF" w:themeFill="background1"/>
                  <w:vAlign w:val="center"/>
                </w:tcPr>
                <w:p>
                  <w:pPr>
                    <w:jc w:val="center"/>
                    <w:rPr>
                      <w:rFonts w:ascii="Times New Roman" w:hAnsi="Times New Roman" w:eastAsia="宋体" w:cs="Times New Roman"/>
                      <w:kern w:val="0"/>
                      <w:sz w:val="20"/>
                      <w:szCs w:val="21"/>
                    </w:rPr>
                  </w:pPr>
                  <w:r>
                    <w:rPr>
                      <w:rFonts w:hint="eastAsia" w:ascii="Times New Roman" w:hAnsi="Times New Roman" w:eastAsia="宋体" w:cs="Times New Roman"/>
                      <w:kern w:val="0"/>
                      <w:szCs w:val="21"/>
                    </w:rPr>
                    <w:t>满足</w:t>
                  </w:r>
                </w:p>
              </w:tc>
            </w:tr>
          </w:tbl>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根据表7-</w:t>
            </w:r>
            <w:r>
              <w:rPr>
                <w:rFonts w:ascii="Times New Roman" w:hAnsi="Times New Roman" w:eastAsia="宋体" w:cs="Times New Roman"/>
                <w:sz w:val="24"/>
              </w:rPr>
              <w:t>9</w:t>
            </w:r>
            <w:r>
              <w:rPr>
                <w:rFonts w:hint="eastAsia" w:ascii="Times New Roman" w:hAnsi="Times New Roman" w:eastAsia="宋体" w:cs="Times New Roman"/>
                <w:sz w:val="24"/>
              </w:rPr>
              <w:t>可知，本项目运营期生活废水排放量满足环评要求。</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综上，可知本项目实施后废水、废气污染物排放量均满足环评批复的总量指标要求。</w:t>
            </w:r>
          </w:p>
          <w:p>
            <w:pPr>
              <w:spacing w:line="360" w:lineRule="auto"/>
              <w:ind w:firstLine="480" w:firstLineChars="200"/>
              <w:jc w:val="left"/>
              <w:rPr>
                <w:rFonts w:ascii="Times New Roman" w:hAnsi="Times New Roman" w:eastAsia="宋体" w:cs="Times New Roman"/>
                <w:sz w:val="24"/>
                <w:highlight w:val="yellow"/>
              </w:rPr>
            </w:pPr>
          </w:p>
          <w:p>
            <w:pPr>
              <w:spacing w:line="360" w:lineRule="auto"/>
              <w:jc w:val="left"/>
              <w:rPr>
                <w:rFonts w:ascii="Times New Roman" w:hAnsi="Times New Roman" w:eastAsia="宋体" w:cs="Times New Roman"/>
                <w:sz w:val="24"/>
              </w:rPr>
            </w:pPr>
          </w:p>
        </w:tc>
      </w:tr>
    </w:tbl>
    <w:p>
      <w:pPr>
        <w:rPr>
          <w:rFonts w:ascii="Times New Roman" w:hAnsi="Times New Roman" w:eastAsia="宋体" w:cs="Times New Roman"/>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outlineLvl w:val="0"/>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表</w:t>
      </w:r>
      <w:r>
        <w:rPr>
          <w:rFonts w:hint="eastAsia" w:ascii="Times New Roman" w:hAnsi="Times New Roman" w:eastAsia="宋体" w:cs="Times New Roman"/>
          <w:b/>
          <w:bCs/>
          <w:color w:val="000000" w:themeColor="text1"/>
          <w:sz w:val="28"/>
          <w:szCs w:val="28"/>
          <w14:textFill>
            <w14:solidFill>
              <w14:schemeClr w14:val="tx1"/>
            </w14:solidFill>
          </w14:textFill>
        </w:rPr>
        <w:t>八</w:t>
      </w:r>
      <w:r>
        <w:rPr>
          <w:rFonts w:ascii="Times New Roman" w:hAnsi="Times New Roman" w:eastAsia="宋体" w:cs="Times New Roman"/>
          <w:b/>
          <w:bCs/>
          <w:color w:val="000000" w:themeColor="text1"/>
          <w:sz w:val="28"/>
          <w:szCs w:val="28"/>
          <w14:textFill>
            <w14:solidFill>
              <w14:schemeClr w14:val="tx1"/>
            </w14:solidFill>
          </w14:textFill>
        </w:rPr>
        <w:t xml:space="preserve"> 验收监测结论</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14" w:type="dxa"/>
            <w:vAlign w:val="center"/>
          </w:tcPr>
          <w:p>
            <w:pPr>
              <w:spacing w:line="360" w:lineRule="auto"/>
              <w:ind w:firstLine="482" w:firstLineChars="200"/>
              <w:jc w:val="left"/>
              <w:rPr>
                <w:rFonts w:ascii="Times New Roman" w:hAnsi="Times New Roman" w:eastAsia="宋体" w:cs="Times New Roman"/>
                <w:b/>
                <w:bCs/>
                <w:sz w:val="24"/>
              </w:rPr>
            </w:pPr>
            <w:r>
              <w:rPr>
                <w:rFonts w:hint="eastAsia" w:ascii="Times New Roman" w:hAnsi="Times New Roman" w:eastAsia="宋体" w:cs="Times New Roman"/>
                <w:b/>
                <w:bCs/>
                <w:sz w:val="24"/>
              </w:rPr>
              <w:t>一、验收监测结论</w:t>
            </w:r>
          </w:p>
          <w:p>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1</w:t>
            </w:r>
            <w:r>
              <w:rPr>
                <w:rFonts w:hint="eastAsia" w:ascii="Times New Roman" w:hAnsi="Times New Roman" w:eastAsia="宋体" w:cs="Times New Roman"/>
                <w:b/>
                <w:bCs/>
                <w:sz w:val="24"/>
              </w:rPr>
              <w:t>、环境保护设施调试效果</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本项目于2</w:t>
            </w:r>
            <w:r>
              <w:rPr>
                <w:rFonts w:ascii="Times New Roman" w:hAnsi="Times New Roman" w:eastAsia="宋体" w:cs="Times New Roman"/>
                <w:sz w:val="24"/>
              </w:rPr>
              <w:t>021</w:t>
            </w:r>
            <w:r>
              <w:rPr>
                <w:rFonts w:hint="eastAsia" w:ascii="Times New Roman" w:hAnsi="Times New Roman" w:eastAsia="宋体" w:cs="Times New Roman"/>
                <w:sz w:val="24"/>
              </w:rPr>
              <w:t>年</w:t>
            </w:r>
            <w:r>
              <w:rPr>
                <w:rFonts w:ascii="Times New Roman" w:hAnsi="Times New Roman" w:eastAsia="宋体" w:cs="Times New Roman"/>
                <w:sz w:val="24"/>
              </w:rPr>
              <w:t>11</w:t>
            </w:r>
            <w:r>
              <w:rPr>
                <w:rFonts w:hint="eastAsia" w:ascii="Times New Roman" w:hAnsi="Times New Roman" w:eastAsia="宋体" w:cs="Times New Roman"/>
                <w:sz w:val="24"/>
              </w:rPr>
              <w:t>月开工建设，于2</w:t>
            </w:r>
            <w:r>
              <w:rPr>
                <w:rFonts w:ascii="Times New Roman" w:hAnsi="Times New Roman" w:eastAsia="宋体" w:cs="Times New Roman"/>
                <w:sz w:val="24"/>
              </w:rPr>
              <w:t>022</w:t>
            </w:r>
            <w:r>
              <w:rPr>
                <w:rFonts w:hint="eastAsia" w:ascii="Times New Roman" w:hAnsi="Times New Roman" w:eastAsia="宋体" w:cs="Times New Roman"/>
                <w:sz w:val="24"/>
              </w:rPr>
              <w:t>年</w:t>
            </w:r>
            <w:r>
              <w:rPr>
                <w:rFonts w:ascii="Times New Roman" w:hAnsi="Times New Roman" w:eastAsia="宋体" w:cs="Times New Roman"/>
                <w:sz w:val="24"/>
              </w:rPr>
              <w:t>6</w:t>
            </w:r>
            <w:r>
              <w:rPr>
                <w:rFonts w:hint="eastAsia" w:ascii="Times New Roman" w:hAnsi="Times New Roman" w:eastAsia="宋体" w:cs="Times New Roman"/>
                <w:sz w:val="24"/>
              </w:rPr>
              <w:t>月开始进行试生产调试，当前阶段处于</w:t>
            </w:r>
            <w:r>
              <w:rPr>
                <w:rFonts w:ascii="Times New Roman" w:hAnsi="Times New Roman" w:eastAsia="宋体" w:cs="Times New Roman"/>
                <w:sz w:val="24"/>
              </w:rPr>
              <w:t>90</w:t>
            </w:r>
            <w:r>
              <w:rPr>
                <w:rFonts w:hint="eastAsia" w:ascii="Times New Roman" w:hAnsi="Times New Roman" w:eastAsia="宋体" w:cs="Times New Roman"/>
                <w:sz w:val="24"/>
              </w:rPr>
              <w:t>%作业状态。于2</w:t>
            </w:r>
            <w:r>
              <w:rPr>
                <w:rFonts w:ascii="Times New Roman" w:hAnsi="Times New Roman" w:eastAsia="宋体" w:cs="Times New Roman"/>
                <w:sz w:val="24"/>
              </w:rPr>
              <w:t>022</w:t>
            </w:r>
            <w:r>
              <w:rPr>
                <w:rFonts w:hint="eastAsia" w:ascii="Times New Roman" w:hAnsi="Times New Roman" w:eastAsia="宋体" w:cs="Times New Roman"/>
                <w:sz w:val="24"/>
              </w:rPr>
              <w:t>年</w:t>
            </w:r>
            <w:r>
              <w:rPr>
                <w:rFonts w:ascii="Times New Roman" w:hAnsi="Times New Roman" w:eastAsia="宋体" w:cs="Times New Roman"/>
                <w:sz w:val="24"/>
              </w:rPr>
              <w:t>8</w:t>
            </w:r>
            <w:r>
              <w:rPr>
                <w:rFonts w:hint="eastAsia" w:ascii="Times New Roman" w:hAnsi="Times New Roman" w:eastAsia="宋体" w:cs="Times New Roman"/>
                <w:sz w:val="24"/>
              </w:rPr>
              <w:t>月</w:t>
            </w:r>
            <w:r>
              <w:rPr>
                <w:rFonts w:ascii="Times New Roman" w:hAnsi="Times New Roman" w:eastAsia="宋体" w:cs="Times New Roman"/>
                <w:sz w:val="24"/>
              </w:rPr>
              <w:t>31</w:t>
            </w:r>
            <w:r>
              <w:rPr>
                <w:rFonts w:hint="eastAsia" w:ascii="Times New Roman" w:hAnsi="Times New Roman" w:eastAsia="宋体" w:cs="Times New Roman"/>
                <w:sz w:val="24"/>
              </w:rPr>
              <w:t>日~</w:t>
            </w:r>
            <w:r>
              <w:rPr>
                <w:rFonts w:ascii="Times New Roman" w:hAnsi="Times New Roman" w:eastAsia="宋体" w:cs="Times New Roman"/>
                <w:sz w:val="24"/>
              </w:rPr>
              <w:t>2022</w:t>
            </w:r>
            <w:r>
              <w:rPr>
                <w:rFonts w:hint="eastAsia" w:ascii="Times New Roman" w:hAnsi="Times New Roman" w:eastAsia="宋体" w:cs="Times New Roman"/>
                <w:sz w:val="24"/>
              </w:rPr>
              <w:t>年</w:t>
            </w:r>
            <w:r>
              <w:rPr>
                <w:rFonts w:ascii="Times New Roman" w:hAnsi="Times New Roman" w:eastAsia="宋体" w:cs="Times New Roman"/>
                <w:sz w:val="24"/>
              </w:rPr>
              <w:t>9</w:t>
            </w:r>
            <w:r>
              <w:rPr>
                <w:rFonts w:hint="eastAsia" w:ascii="Times New Roman" w:hAnsi="Times New Roman" w:eastAsia="宋体" w:cs="Times New Roman"/>
                <w:sz w:val="24"/>
              </w:rPr>
              <w:t>月</w:t>
            </w:r>
            <w:r>
              <w:rPr>
                <w:rFonts w:ascii="Times New Roman" w:hAnsi="Times New Roman" w:eastAsia="宋体" w:cs="Times New Roman"/>
                <w:sz w:val="24"/>
              </w:rPr>
              <w:t>1</w:t>
            </w:r>
            <w:r>
              <w:rPr>
                <w:rFonts w:hint="eastAsia" w:ascii="Times New Roman" w:hAnsi="Times New Roman" w:eastAsia="宋体" w:cs="Times New Roman"/>
                <w:sz w:val="24"/>
              </w:rPr>
              <w:t>日进行验收监测，监测期间生产负荷运行正常，符合竣工验收要求。</w:t>
            </w:r>
          </w:p>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2、废水部分</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运营期废水主要为员工生活污水和生产废水。</w:t>
            </w:r>
            <w:r>
              <w:rPr>
                <w:rFonts w:ascii="Times New Roman" w:hAnsi="Times New Roman" w:eastAsia="宋体" w:cs="Times New Roman"/>
                <w:sz w:val="24"/>
              </w:rPr>
              <w:t>生产废水经过厂区污水处理装置后达标后，通过市政管网排入盐城市大丰经济开发区污水处理厂处理后尾水排入老斗龙港；</w:t>
            </w:r>
            <w:r>
              <w:rPr>
                <w:rFonts w:hint="eastAsia" w:ascii="Times New Roman" w:hAnsi="Times New Roman" w:eastAsia="宋体" w:cs="Times New Roman"/>
                <w:sz w:val="24"/>
              </w:rPr>
              <w:t>生活污水经化粪池处理后，通过市政管网排至大丰经济开发区污水处理厂处理后达标排放。</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废水污染物中pH值的最大日均值为</w:t>
            </w:r>
            <w:r>
              <w:rPr>
                <w:rFonts w:ascii="Times New Roman" w:hAnsi="Times New Roman" w:eastAsia="宋体" w:cs="Times New Roman"/>
                <w:sz w:val="24"/>
              </w:rPr>
              <w:t>7.4</w:t>
            </w:r>
            <w:r>
              <w:rPr>
                <w:rFonts w:hint="eastAsia" w:ascii="Times New Roman" w:hAnsi="Times New Roman" w:eastAsia="宋体" w:cs="Times New Roman"/>
                <w:sz w:val="24"/>
              </w:rPr>
              <w:t>，化学需氧量的最大日均值为1</w:t>
            </w:r>
            <w:r>
              <w:rPr>
                <w:rFonts w:ascii="Times New Roman" w:hAnsi="Times New Roman" w:eastAsia="宋体" w:cs="Times New Roman"/>
                <w:sz w:val="24"/>
              </w:rPr>
              <w:t>73</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，悬浮物的最大日均值为</w:t>
            </w:r>
            <w:r>
              <w:rPr>
                <w:rFonts w:ascii="Times New Roman" w:hAnsi="Times New Roman" w:eastAsia="宋体" w:cs="Times New Roman"/>
                <w:sz w:val="24"/>
              </w:rPr>
              <w:t>21</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，氨氮的最大日均值为6</w:t>
            </w:r>
            <w:r>
              <w:rPr>
                <w:rFonts w:ascii="Times New Roman" w:hAnsi="Times New Roman" w:eastAsia="宋体" w:cs="Times New Roman"/>
                <w:sz w:val="24"/>
              </w:rPr>
              <w:t>.85</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，总磷的最大日均值为3</w:t>
            </w:r>
            <w:r>
              <w:rPr>
                <w:rFonts w:ascii="Times New Roman" w:hAnsi="Times New Roman" w:eastAsia="宋体" w:cs="Times New Roman"/>
                <w:sz w:val="24"/>
              </w:rPr>
              <w:t>.11</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，石油类的最大日均值为0</w:t>
            </w:r>
            <w:r>
              <w:rPr>
                <w:rFonts w:ascii="Times New Roman" w:hAnsi="Times New Roman" w:eastAsia="宋体" w:cs="Times New Roman"/>
                <w:sz w:val="24"/>
              </w:rPr>
              <w:t>.07</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，阴离子表面活性剂的最大日均值为</w:t>
            </w:r>
            <w:r>
              <w:rPr>
                <w:rFonts w:ascii="Times New Roman" w:hAnsi="Times New Roman" w:eastAsia="宋体" w:cs="Times New Roman"/>
                <w:sz w:val="24"/>
              </w:rPr>
              <w:t>3.94</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，锌的最大日均值为</w:t>
            </w:r>
            <w:r>
              <w:rPr>
                <w:rFonts w:ascii="Times New Roman" w:hAnsi="Times New Roman" w:eastAsia="宋体" w:cs="Times New Roman"/>
                <w:sz w:val="24"/>
              </w:rPr>
              <w:t>0.14</w:t>
            </w:r>
            <w:r>
              <w:rPr>
                <w:rFonts w:hint="eastAsia" w:ascii="Times New Roman" w:hAnsi="Times New Roman" w:eastAsia="宋体" w:cs="Times New Roman"/>
                <w:sz w:val="24"/>
              </w:rPr>
              <w:t>mg</w:t>
            </w:r>
            <w:r>
              <w:rPr>
                <w:rFonts w:ascii="Times New Roman" w:hAnsi="Times New Roman" w:eastAsia="宋体" w:cs="Times New Roman"/>
                <w:sz w:val="24"/>
              </w:rPr>
              <w:t>/L</w:t>
            </w:r>
            <w:r>
              <w:rPr>
                <w:rFonts w:hint="eastAsia" w:ascii="Times New Roman" w:hAnsi="Times New Roman" w:eastAsia="宋体" w:cs="Times New Roman"/>
                <w:sz w:val="24"/>
              </w:rPr>
              <w:t>，各污染物指标均满足《污水综合排放标准》（</w:t>
            </w:r>
            <w:r>
              <w:rPr>
                <w:rFonts w:ascii="Times New Roman" w:hAnsi="Times New Roman" w:eastAsia="宋体" w:cs="Times New Roman"/>
                <w:sz w:val="24"/>
              </w:rPr>
              <w:t>GB8978-1996）中三级标准和《污水排入城镇下水道水质标准》（GB/T31962-2015）中B级标准及污水厂接管标准</w:t>
            </w:r>
            <w:r>
              <w:rPr>
                <w:rFonts w:hint="eastAsia" w:ascii="Times New Roman" w:hAnsi="Times New Roman" w:eastAsia="宋体" w:cs="Times New Roman"/>
                <w:sz w:val="24"/>
              </w:rPr>
              <w:t>。</w:t>
            </w:r>
            <w:r>
              <w:rPr>
                <w:rFonts w:ascii="Times New Roman" w:hAnsi="Times New Roman" w:eastAsia="仿宋_GB2312" w:cs="Times New Roman"/>
              </w:rPr>
              <w:t xml:space="preserve"> </w:t>
            </w:r>
          </w:p>
          <w:p>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3</w:t>
            </w:r>
            <w:r>
              <w:rPr>
                <w:rFonts w:hint="eastAsia" w:ascii="Times New Roman" w:hAnsi="Times New Roman" w:eastAsia="宋体" w:cs="Times New Roman"/>
                <w:b/>
                <w:bCs/>
                <w:sz w:val="24"/>
              </w:rPr>
              <w:t>、废气部分</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本项目运营期有组织废气为抛丸和喷砂工段产生的颗粒物；未收集到的颗粒物通过车间通风设施无组织排放。</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排气筒出口废气污染物颗粒物的排放浓度为</w:t>
            </w:r>
            <w:r>
              <w:rPr>
                <w:rFonts w:ascii="Times New Roman" w:hAnsi="Times New Roman" w:eastAsia="宋体" w:cs="Times New Roman"/>
                <w:sz w:val="24"/>
              </w:rPr>
              <w:t>9.0</w:t>
            </w:r>
            <w:r>
              <w:rPr>
                <w:rFonts w:hint="eastAsia" w:ascii="Times New Roman" w:hAnsi="Times New Roman" w:eastAsia="宋体" w:cs="Times New Roman"/>
                <w:sz w:val="24"/>
              </w:rPr>
              <w:t>m</w:t>
            </w:r>
            <w:r>
              <w:rPr>
                <w:rFonts w:ascii="Times New Roman" w:hAnsi="Times New Roman" w:eastAsia="宋体" w:cs="Times New Roman"/>
                <w:sz w:val="24"/>
              </w:rPr>
              <w:t>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，速率为</w:t>
            </w:r>
            <w:r>
              <w:rPr>
                <w:rFonts w:ascii="Times New Roman" w:hAnsi="Times New Roman" w:eastAsia="宋体" w:cs="Times New Roman"/>
                <w:sz w:val="24"/>
              </w:rPr>
              <w:t>0.092</w:t>
            </w:r>
            <w:r>
              <w:rPr>
                <w:rFonts w:hint="eastAsia" w:ascii="Times New Roman" w:hAnsi="Times New Roman" w:eastAsia="宋体" w:cs="Times New Roman"/>
                <w:sz w:val="24"/>
              </w:rPr>
              <w:t>kg/</w:t>
            </w:r>
            <w:r>
              <w:rPr>
                <w:rFonts w:ascii="Times New Roman" w:hAnsi="Times New Roman" w:eastAsia="宋体" w:cs="Times New Roman"/>
                <w:sz w:val="24"/>
              </w:rPr>
              <w:t>h</w:t>
            </w:r>
            <w:r>
              <w:rPr>
                <w:rFonts w:hint="eastAsia" w:ascii="Times New Roman" w:hAnsi="Times New Roman" w:eastAsia="宋体" w:cs="Times New Roman"/>
                <w:sz w:val="24"/>
              </w:rPr>
              <w:t>。颗粒物处理效率为9</w:t>
            </w:r>
            <w:r>
              <w:rPr>
                <w:rFonts w:ascii="Times New Roman" w:hAnsi="Times New Roman" w:eastAsia="宋体" w:cs="Times New Roman"/>
                <w:sz w:val="24"/>
              </w:rPr>
              <w:t>9.04</w:t>
            </w:r>
            <w:r>
              <w:rPr>
                <w:rFonts w:hint="eastAsia" w:ascii="Times New Roman" w:hAnsi="Times New Roman" w:eastAsia="宋体" w:cs="Times New Roman"/>
                <w:sz w:val="24"/>
              </w:rPr>
              <w:t>%，有组织废气颗粒物满足《大气污染物综合排放标准》（</w:t>
            </w:r>
            <w:r>
              <w:rPr>
                <w:rFonts w:ascii="Times New Roman" w:hAnsi="Times New Roman" w:eastAsia="宋体" w:cs="Times New Roman"/>
                <w:sz w:val="24"/>
              </w:rPr>
              <w:t>DB32/4041-2021）中表1的标准限值</w:t>
            </w:r>
            <w:r>
              <w:rPr>
                <w:rFonts w:hint="eastAsia" w:ascii="Times New Roman" w:hAnsi="Times New Roman" w:eastAsia="宋体" w:cs="Times New Roman"/>
                <w:sz w:val="24"/>
              </w:rPr>
              <w:t>。</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无组织废气：厂界上风（</w:t>
            </w:r>
            <w:r>
              <w:rPr>
                <w:rFonts w:ascii="Times New Roman" w:hAnsi="Times New Roman" w:eastAsia="宋体" w:cs="Times New Roman"/>
                <w:sz w:val="24"/>
              </w:rPr>
              <w:t>WQ1</w:t>
            </w:r>
            <w:r>
              <w:rPr>
                <w:rFonts w:hint="eastAsia" w:ascii="Times New Roman" w:hAnsi="Times New Roman" w:eastAsia="宋体" w:cs="Times New Roman"/>
                <w:sz w:val="24"/>
              </w:rPr>
              <w:t>）颗粒物浓度为</w:t>
            </w:r>
            <w:r>
              <w:rPr>
                <w:rFonts w:ascii="Times New Roman" w:hAnsi="Times New Roman" w:eastAsia="宋体" w:cs="Times New Roman"/>
                <w:sz w:val="24"/>
              </w:rPr>
              <w:t>0.250-0.267</w:t>
            </w:r>
            <w:r>
              <w:rPr>
                <w:rFonts w:hint="eastAsia" w:ascii="Times New Roman" w:hAnsi="Times New Roman" w:eastAsia="宋体" w:cs="Times New Roman"/>
                <w:sz w:val="24"/>
              </w:rPr>
              <w:t>m</w:t>
            </w:r>
            <w:r>
              <w:rPr>
                <w:rFonts w:ascii="Times New Roman" w:hAnsi="Times New Roman" w:eastAsia="宋体" w:cs="Times New Roman"/>
                <w:sz w:val="24"/>
              </w:rPr>
              <w:t>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，厂界下风向（</w:t>
            </w:r>
            <w:r>
              <w:rPr>
                <w:rFonts w:ascii="Times New Roman" w:hAnsi="Times New Roman" w:eastAsia="宋体" w:cs="Times New Roman"/>
                <w:sz w:val="24"/>
              </w:rPr>
              <w:t>WQ2</w:t>
            </w:r>
            <w:r>
              <w:rPr>
                <w:rFonts w:hint="eastAsia" w:ascii="Times New Roman" w:hAnsi="Times New Roman" w:eastAsia="宋体" w:cs="Times New Roman"/>
                <w:sz w:val="24"/>
              </w:rPr>
              <w:t>）颗粒物浓度为</w:t>
            </w:r>
            <w:r>
              <w:rPr>
                <w:rFonts w:ascii="Times New Roman" w:hAnsi="Times New Roman" w:eastAsia="宋体" w:cs="Times New Roman"/>
                <w:sz w:val="24"/>
              </w:rPr>
              <w:t>0.300-0.367</w:t>
            </w:r>
            <w:r>
              <w:rPr>
                <w:rFonts w:hint="eastAsia" w:ascii="Times New Roman" w:hAnsi="Times New Roman" w:eastAsia="宋体" w:cs="Times New Roman"/>
                <w:sz w:val="24"/>
              </w:rPr>
              <w:t>m</w:t>
            </w:r>
            <w:r>
              <w:rPr>
                <w:rFonts w:ascii="Times New Roman" w:hAnsi="Times New Roman" w:eastAsia="宋体" w:cs="Times New Roman"/>
                <w:sz w:val="24"/>
              </w:rPr>
              <w:t>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，厂界下风（</w:t>
            </w:r>
            <w:r>
              <w:rPr>
                <w:rFonts w:ascii="Times New Roman" w:hAnsi="Times New Roman" w:eastAsia="宋体" w:cs="Times New Roman"/>
                <w:sz w:val="24"/>
              </w:rPr>
              <w:t>WQ3</w:t>
            </w:r>
            <w:r>
              <w:rPr>
                <w:rFonts w:hint="eastAsia" w:ascii="Times New Roman" w:hAnsi="Times New Roman" w:eastAsia="宋体" w:cs="Times New Roman"/>
                <w:sz w:val="24"/>
              </w:rPr>
              <w:t>）颗粒物为</w:t>
            </w:r>
            <w:r>
              <w:rPr>
                <w:rFonts w:ascii="Times New Roman" w:hAnsi="Times New Roman" w:eastAsia="宋体" w:cs="Times New Roman"/>
                <w:sz w:val="24"/>
              </w:rPr>
              <w:t>0.300-0.350</w:t>
            </w:r>
            <w:r>
              <w:rPr>
                <w:rFonts w:hint="eastAsia" w:ascii="Times New Roman" w:hAnsi="Times New Roman" w:eastAsia="宋体" w:cs="Times New Roman"/>
                <w:sz w:val="24"/>
              </w:rPr>
              <w:t>m</w:t>
            </w:r>
            <w:r>
              <w:rPr>
                <w:rFonts w:ascii="Times New Roman" w:hAnsi="Times New Roman" w:eastAsia="宋体" w:cs="Times New Roman"/>
                <w:sz w:val="24"/>
              </w:rPr>
              <w:t>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，厂界下风（</w:t>
            </w:r>
            <w:r>
              <w:rPr>
                <w:rFonts w:ascii="Times New Roman" w:hAnsi="Times New Roman" w:eastAsia="宋体" w:cs="Times New Roman"/>
                <w:sz w:val="24"/>
              </w:rPr>
              <w:t>WQ4</w:t>
            </w:r>
            <w:r>
              <w:rPr>
                <w:rFonts w:hint="eastAsia" w:ascii="Times New Roman" w:hAnsi="Times New Roman" w:eastAsia="宋体" w:cs="Times New Roman"/>
                <w:sz w:val="24"/>
              </w:rPr>
              <w:t>）颗粒物为</w:t>
            </w:r>
            <w:r>
              <w:rPr>
                <w:rFonts w:ascii="Times New Roman" w:hAnsi="Times New Roman" w:eastAsia="宋体" w:cs="Times New Roman"/>
                <w:sz w:val="24"/>
              </w:rPr>
              <w:t>0.300-0.350</w:t>
            </w:r>
            <w:r>
              <w:rPr>
                <w:rFonts w:hint="eastAsia" w:ascii="Times New Roman" w:hAnsi="Times New Roman" w:eastAsia="宋体" w:cs="Times New Roman"/>
                <w:sz w:val="24"/>
              </w:rPr>
              <w:t>m</w:t>
            </w:r>
            <w:r>
              <w:rPr>
                <w:rFonts w:ascii="Times New Roman" w:hAnsi="Times New Roman" w:eastAsia="宋体" w:cs="Times New Roman"/>
                <w:sz w:val="24"/>
              </w:rPr>
              <w:t>g/m</w:t>
            </w:r>
            <w:r>
              <w:rPr>
                <w:rFonts w:ascii="Times New Roman" w:hAnsi="Times New Roman" w:eastAsia="宋体" w:cs="Times New Roman"/>
                <w:sz w:val="24"/>
                <w:vertAlign w:val="superscript"/>
              </w:rPr>
              <w:t>3</w:t>
            </w:r>
            <w:r>
              <w:rPr>
                <w:rFonts w:hint="eastAsia" w:ascii="Times New Roman" w:hAnsi="Times New Roman" w:eastAsia="宋体" w:cs="Times New Roman"/>
                <w:sz w:val="24"/>
              </w:rPr>
              <w:t>，满足《大气污染物综合排放标准》（</w:t>
            </w:r>
            <w:r>
              <w:rPr>
                <w:rFonts w:ascii="Times New Roman" w:hAnsi="Times New Roman" w:eastAsia="宋体" w:cs="Times New Roman"/>
                <w:sz w:val="24"/>
              </w:rPr>
              <w:t>DB32/4041-2021）中表3的标准限值</w:t>
            </w:r>
            <w:r>
              <w:rPr>
                <w:rFonts w:hint="eastAsia" w:ascii="Times New Roman" w:hAnsi="Times New Roman" w:eastAsia="宋体" w:cs="Times New Roman"/>
                <w:sz w:val="24"/>
              </w:rPr>
              <w:t>。</w:t>
            </w:r>
          </w:p>
          <w:p>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4</w:t>
            </w:r>
            <w:r>
              <w:rPr>
                <w:rFonts w:hint="eastAsia" w:ascii="Times New Roman" w:hAnsi="Times New Roman" w:eastAsia="宋体" w:cs="Times New Roman"/>
                <w:b/>
                <w:bCs/>
                <w:sz w:val="24"/>
              </w:rPr>
              <w:t>、噪声部分</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本项目运营期仅在昼间进行生产，厂界Z</w:t>
            </w:r>
            <w:r>
              <w:rPr>
                <w:rFonts w:ascii="Times New Roman" w:hAnsi="Times New Roman" w:eastAsia="宋体" w:cs="Times New Roman"/>
                <w:sz w:val="24"/>
              </w:rPr>
              <w:t>1</w:t>
            </w:r>
            <w:r>
              <w:rPr>
                <w:rFonts w:hint="eastAsia" w:ascii="Times New Roman" w:hAnsi="Times New Roman" w:eastAsia="宋体" w:cs="Times New Roman"/>
                <w:sz w:val="24"/>
              </w:rPr>
              <w:t>、Z</w:t>
            </w:r>
            <w:r>
              <w:rPr>
                <w:rFonts w:ascii="Times New Roman" w:hAnsi="Times New Roman" w:eastAsia="宋体" w:cs="Times New Roman"/>
                <w:sz w:val="24"/>
              </w:rPr>
              <w:t>2</w:t>
            </w:r>
            <w:r>
              <w:rPr>
                <w:rFonts w:hint="eastAsia" w:ascii="Times New Roman" w:hAnsi="Times New Roman" w:eastAsia="宋体" w:cs="Times New Roman"/>
                <w:sz w:val="24"/>
              </w:rPr>
              <w:t>、Z</w:t>
            </w:r>
            <w:r>
              <w:rPr>
                <w:rFonts w:ascii="Times New Roman" w:hAnsi="Times New Roman" w:eastAsia="宋体" w:cs="Times New Roman"/>
                <w:sz w:val="24"/>
              </w:rPr>
              <w:t>3</w:t>
            </w:r>
            <w:r>
              <w:rPr>
                <w:rFonts w:hint="eastAsia" w:ascii="Times New Roman" w:hAnsi="Times New Roman" w:eastAsia="宋体" w:cs="Times New Roman"/>
                <w:sz w:val="24"/>
              </w:rPr>
              <w:t>、Z</w:t>
            </w:r>
            <w:r>
              <w:rPr>
                <w:rFonts w:ascii="Times New Roman" w:hAnsi="Times New Roman" w:eastAsia="宋体" w:cs="Times New Roman"/>
                <w:sz w:val="24"/>
              </w:rPr>
              <w:t>4</w:t>
            </w:r>
            <w:r>
              <w:rPr>
                <w:rFonts w:hint="eastAsia" w:ascii="Times New Roman" w:hAnsi="Times New Roman" w:eastAsia="宋体" w:cs="Times New Roman"/>
                <w:sz w:val="24"/>
              </w:rPr>
              <w:t>监测点噪声检测值为：</w:t>
            </w:r>
            <w:r>
              <w:rPr>
                <w:rFonts w:ascii="Times New Roman" w:hAnsi="Times New Roman" w:eastAsia="宋体" w:cs="Times New Roman"/>
                <w:sz w:val="24"/>
              </w:rPr>
              <w:t>62-64</w:t>
            </w:r>
            <w:r>
              <w:rPr>
                <w:rFonts w:hint="eastAsia" w:ascii="Times New Roman" w:hAnsi="Times New Roman" w:eastAsia="宋体" w:cs="Times New Roman"/>
                <w:sz w:val="24"/>
              </w:rPr>
              <w:t>d</w:t>
            </w:r>
            <w:r>
              <w:rPr>
                <w:rFonts w:ascii="Times New Roman" w:hAnsi="Times New Roman" w:eastAsia="宋体" w:cs="Times New Roman"/>
                <w:sz w:val="24"/>
              </w:rPr>
              <w:t>B(A)</w:t>
            </w:r>
            <w:r>
              <w:rPr>
                <w:rFonts w:hint="eastAsia" w:ascii="Times New Roman" w:hAnsi="Times New Roman" w:eastAsia="宋体" w:cs="Times New Roman"/>
                <w:sz w:val="24"/>
              </w:rPr>
              <w:t>，满足《工业企业厂界环境噪声排放标准》（</w:t>
            </w:r>
            <w:r>
              <w:rPr>
                <w:rFonts w:ascii="Times New Roman" w:hAnsi="Times New Roman" w:eastAsia="宋体" w:cs="Times New Roman"/>
                <w:sz w:val="24"/>
              </w:rPr>
              <w:t>GB12348-2008</w:t>
            </w:r>
            <w:r>
              <w:rPr>
                <w:rFonts w:hint="eastAsia" w:ascii="Times New Roman" w:hAnsi="Times New Roman" w:eastAsia="宋体" w:cs="Times New Roman"/>
                <w:sz w:val="24"/>
              </w:rPr>
              <w:t>）表</w:t>
            </w:r>
            <w:r>
              <w:rPr>
                <w:rFonts w:ascii="Times New Roman" w:hAnsi="Times New Roman" w:eastAsia="宋体" w:cs="Times New Roman"/>
                <w:sz w:val="24"/>
              </w:rPr>
              <w:t>1</w:t>
            </w:r>
            <w:r>
              <w:rPr>
                <w:rFonts w:hint="eastAsia" w:ascii="Times New Roman" w:hAnsi="Times New Roman" w:eastAsia="宋体" w:cs="Times New Roman"/>
                <w:sz w:val="24"/>
              </w:rPr>
              <w:t>中的3类标准及环评中要求。</w:t>
            </w:r>
          </w:p>
          <w:p>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5</w:t>
            </w:r>
            <w:r>
              <w:rPr>
                <w:rFonts w:hint="eastAsia" w:ascii="Times New Roman" w:hAnsi="Times New Roman" w:eastAsia="宋体" w:cs="Times New Roman"/>
                <w:b/>
                <w:bCs/>
                <w:sz w:val="24"/>
              </w:rPr>
              <w:t>、固体废物部分</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生活垃圾由环卫部门统一处理，实现日产日清；生产过程中产生的危险废物为废润滑油、废液压油、废切削液、废油桶、磷化渣、污泥，委托盐城新宇辉丰环保科技有限公司进行处理，产生的一般废弃物废布袋、生活垃圾由环卫部门收集后统一处理；金属废料、氧化皮废料由收购单位统一处理利用。固废实现零排放，不会造成环境影响。</w:t>
            </w:r>
          </w:p>
          <w:p>
            <w:pPr>
              <w:spacing w:line="360" w:lineRule="auto"/>
              <w:ind w:firstLine="482" w:firstLineChars="200"/>
              <w:jc w:val="left"/>
              <w:rPr>
                <w:rFonts w:ascii="Times New Roman" w:hAnsi="Times New Roman" w:eastAsia="宋体" w:cs="Times New Roman"/>
                <w:b/>
                <w:bCs/>
                <w:sz w:val="24"/>
              </w:rPr>
            </w:pPr>
            <w:r>
              <w:rPr>
                <w:rFonts w:ascii="Times New Roman" w:hAnsi="Times New Roman" w:eastAsia="宋体" w:cs="Times New Roman"/>
                <w:b/>
                <w:bCs/>
                <w:sz w:val="24"/>
              </w:rPr>
              <w:t>6</w:t>
            </w:r>
            <w:r>
              <w:rPr>
                <w:rFonts w:hint="eastAsia" w:ascii="Times New Roman" w:hAnsi="Times New Roman" w:eastAsia="宋体" w:cs="Times New Roman"/>
                <w:b/>
                <w:bCs/>
                <w:sz w:val="24"/>
              </w:rPr>
              <w:t>、总量控制对照</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本项目全年工作3</w:t>
            </w:r>
            <w:r>
              <w:rPr>
                <w:rFonts w:ascii="Times New Roman" w:hAnsi="Times New Roman" w:eastAsia="宋体" w:cs="Times New Roman"/>
                <w:sz w:val="24"/>
              </w:rPr>
              <w:t>00</w:t>
            </w:r>
            <w:r>
              <w:rPr>
                <w:rFonts w:hint="eastAsia" w:ascii="Times New Roman" w:hAnsi="Times New Roman" w:eastAsia="宋体" w:cs="Times New Roman"/>
                <w:sz w:val="24"/>
              </w:rPr>
              <w:t>天，年工作时间为</w:t>
            </w:r>
            <w:r>
              <w:rPr>
                <w:rFonts w:ascii="Times New Roman" w:hAnsi="Times New Roman" w:eastAsia="宋体" w:cs="Times New Roman"/>
                <w:sz w:val="24"/>
              </w:rPr>
              <w:t>2400h</w:t>
            </w:r>
            <w:r>
              <w:rPr>
                <w:rFonts w:hint="eastAsia" w:ascii="Times New Roman" w:hAnsi="Times New Roman" w:eastAsia="宋体" w:cs="Times New Roman"/>
                <w:sz w:val="24"/>
              </w:rPr>
              <w:t>。本项目建设了冷锻产品和模具加工建设，根据核算本项目满负荷实际生产时颗粒物排放总量为0</w:t>
            </w:r>
            <w:r>
              <w:rPr>
                <w:rFonts w:ascii="Times New Roman" w:hAnsi="Times New Roman" w:eastAsia="宋体" w:cs="Times New Roman"/>
                <w:sz w:val="24"/>
              </w:rPr>
              <w:t>.22</w:t>
            </w:r>
            <w:r>
              <w:rPr>
                <w:rFonts w:hint="eastAsia" w:ascii="Times New Roman" w:hAnsi="Times New Roman" w:eastAsia="宋体" w:cs="Times New Roman"/>
                <w:sz w:val="24"/>
              </w:rPr>
              <w:t>t/a，低于环评批复总量0</w:t>
            </w:r>
            <w:r>
              <w:rPr>
                <w:rFonts w:ascii="Times New Roman" w:hAnsi="Times New Roman" w:eastAsia="宋体" w:cs="Times New Roman"/>
                <w:sz w:val="24"/>
              </w:rPr>
              <w:t>.28</w:t>
            </w:r>
            <w:r>
              <w:rPr>
                <w:rFonts w:hint="eastAsia" w:ascii="Times New Roman" w:hAnsi="Times New Roman" w:eastAsia="宋体" w:cs="Times New Roman"/>
                <w:sz w:val="24"/>
              </w:rPr>
              <w:t>t</w:t>
            </w:r>
            <w:r>
              <w:rPr>
                <w:rFonts w:ascii="Times New Roman" w:hAnsi="Times New Roman" w:eastAsia="宋体" w:cs="Times New Roman"/>
                <w:sz w:val="24"/>
              </w:rPr>
              <w:t>/</w:t>
            </w:r>
            <w:r>
              <w:rPr>
                <w:rFonts w:hint="eastAsia" w:ascii="Times New Roman" w:hAnsi="Times New Roman" w:eastAsia="宋体" w:cs="Times New Roman"/>
                <w:sz w:val="24"/>
              </w:rPr>
              <w:t>a，故本项目运营期符合环评中设计的总量控制指标要求。</w:t>
            </w:r>
          </w:p>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综上所述，江苏乐开机电有限公司冷锻产品和模具加工建设</w:t>
            </w:r>
            <w:r>
              <w:rPr>
                <w:rFonts w:ascii="Times New Roman" w:hAnsi="Times New Roman" w:eastAsia="宋体" w:cs="Times New Roman"/>
                <w:b/>
                <w:bCs/>
                <w:sz w:val="24"/>
              </w:rPr>
              <w:t>项目</w:t>
            </w:r>
            <w:r>
              <w:rPr>
                <w:rFonts w:hint="eastAsia" w:ascii="Times New Roman" w:hAnsi="Times New Roman" w:eastAsia="宋体" w:cs="Times New Roman"/>
                <w:b/>
                <w:bCs/>
                <w:sz w:val="24"/>
              </w:rPr>
              <w:t>已按照环境影响评价报告表及其批复要求建成，环境保护设施与主体工程同时投产使用；该项目各项污染物均能达标排放，符合环评及批复的相关要求。本次环境保护验收监测认为该项目符合建设项目竣工环境保护验收条件，满足“三同时”竣工环境保护验收要求。</w:t>
            </w:r>
          </w:p>
          <w:p>
            <w:pPr>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二、建议</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1、加强环境应急演练，落实事故防范措施，提高公司员工环境风险意识。</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2、落实环评及批文的各项要求，加强公司环保设施运行管理，做好运行记录台</w:t>
            </w:r>
            <w:r>
              <w:rPr>
                <w:rFonts w:hint="eastAsia" w:ascii="Times New Roman" w:hAnsi="Times New Roman" w:eastAsia="宋体" w:cs="Times New Roman"/>
                <w:sz w:val="24"/>
              </w:rPr>
              <w:t>账，</w:t>
            </w:r>
            <w:r>
              <w:rPr>
                <w:rFonts w:ascii="Times New Roman" w:hAnsi="Times New Roman" w:eastAsia="宋体" w:cs="Times New Roman"/>
                <w:sz w:val="24"/>
              </w:rPr>
              <w:t>确保环保设施有效运行，污染物稳定达标排放。</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3、加强危险固废管理，强化暂存设施的建设，做好危废转移台账记录。</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4、落实排污许可证自行监测计划中的环境监测要求。</w:t>
            </w:r>
          </w:p>
          <w:p>
            <w:pPr>
              <w:spacing w:line="360" w:lineRule="auto"/>
              <w:ind w:firstLine="480" w:firstLineChars="200"/>
              <w:rPr>
                <w:rFonts w:ascii="Times New Roman" w:hAnsi="Times New Roman" w:eastAsia="宋体" w:cs="Times New Roman"/>
                <w:sz w:val="24"/>
              </w:rPr>
            </w:pPr>
          </w:p>
          <w:p>
            <w:pPr>
              <w:spacing w:line="360" w:lineRule="auto"/>
              <w:rPr>
                <w:rFonts w:ascii="Times New Roman" w:hAnsi="Times New Roman" w:eastAsia="宋体" w:cs="Times New Roman"/>
                <w:sz w:val="24"/>
              </w:rPr>
            </w:pPr>
          </w:p>
        </w:tc>
      </w:tr>
    </w:tbl>
    <w:p>
      <w:pPr>
        <w:rPr>
          <w:rFonts w:ascii="Times New Roman" w:hAnsi="Times New Roman" w:eastAsia="宋体" w:cs="Times New Roman"/>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outlineLvl w:val="0"/>
        <w:rPr>
          <w:rFonts w:ascii="Times New Roman" w:hAnsi="Times New Roman" w:eastAsia="宋体" w:cs="Times New Roman"/>
          <w:b/>
          <w:bCs/>
          <w:color w:val="000000" w:themeColor="text1"/>
          <w:sz w:val="28"/>
          <w:szCs w:val="28"/>
          <w14:textFill>
            <w14:solidFill>
              <w14:schemeClr w14:val="tx1"/>
            </w14:solidFill>
          </w14:textFill>
        </w:rPr>
      </w:pPr>
      <w:r>
        <w:rPr>
          <w:rFonts w:ascii="Times New Roman" w:hAnsi="Times New Roman" w:eastAsia="宋体" w:cs="Times New Roman"/>
          <w:b/>
          <w:bCs/>
          <w:color w:val="000000" w:themeColor="text1"/>
          <w:sz w:val="28"/>
          <w:szCs w:val="28"/>
          <w14:textFill>
            <w14:solidFill>
              <w14:schemeClr w14:val="tx1"/>
            </w14:solidFill>
          </w14:textFill>
        </w:rPr>
        <w:t>表</w:t>
      </w:r>
      <w:r>
        <w:rPr>
          <w:rFonts w:hint="eastAsia" w:ascii="Times New Roman" w:hAnsi="Times New Roman" w:eastAsia="宋体" w:cs="Times New Roman"/>
          <w:b/>
          <w:bCs/>
          <w:color w:val="000000" w:themeColor="text1"/>
          <w:sz w:val="28"/>
          <w:szCs w:val="28"/>
          <w14:textFill>
            <w14:solidFill>
              <w14:schemeClr w14:val="tx1"/>
            </w14:solidFill>
          </w14:textFill>
        </w:rPr>
        <w:t>九</w:t>
      </w:r>
      <w:r>
        <w:rPr>
          <w:rFonts w:ascii="Times New Roman" w:hAnsi="Times New Roman" w:eastAsia="宋体" w:cs="Times New Roman"/>
          <w:b/>
          <w:bCs/>
          <w:color w:val="000000" w:themeColor="text1"/>
          <w:sz w:val="28"/>
          <w:szCs w:val="28"/>
          <w14:textFill>
            <w14:solidFill>
              <w14:schemeClr w14:val="tx1"/>
            </w14:solidFill>
          </w14:textFill>
        </w:rPr>
        <w:t xml:space="preserve"> </w:t>
      </w:r>
      <w:r>
        <w:rPr>
          <w:rFonts w:hint="eastAsia" w:ascii="Times New Roman" w:hAnsi="Times New Roman" w:eastAsia="宋体" w:cs="Times New Roman"/>
          <w:b/>
          <w:bCs/>
          <w:color w:val="000000" w:themeColor="text1"/>
          <w:sz w:val="28"/>
          <w:szCs w:val="28"/>
          <w14:textFill>
            <w14:solidFill>
              <w14:schemeClr w14:val="tx1"/>
            </w14:solidFill>
          </w14:textFill>
        </w:rPr>
        <w:t>附件</w:t>
      </w:r>
    </w:p>
    <w:tbl>
      <w:tblPr>
        <w:tblStyle w:val="16"/>
        <w:tblW w:w="90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014" w:type="dxa"/>
            <w:vAlign w:val="center"/>
          </w:tcPr>
          <w:p>
            <w:pPr>
              <w:spacing w:before="156" w:beforeLines="50" w:after="156" w:afterLines="50" w:line="360" w:lineRule="auto"/>
              <w:jc w:val="left"/>
              <w:rPr>
                <w:rFonts w:ascii="Times New Roman" w:hAnsi="Times New Roman" w:eastAsia="宋体" w:cs="Times New Roman"/>
                <w:b/>
                <w:bCs/>
                <w:sz w:val="24"/>
              </w:rPr>
            </w:pPr>
            <w:r>
              <w:rPr>
                <w:rFonts w:hint="eastAsia" w:ascii="Times New Roman" w:hAnsi="Times New Roman" w:eastAsia="宋体" w:cs="Times New Roman"/>
                <w:b/>
                <w:bCs/>
                <w:sz w:val="24"/>
              </w:rPr>
              <w:t>附件：</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附件1：真实性承诺书</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附件2：验收监测工况说明</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附件3：审批意见</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附件4：企业营业执照</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附件5：排污许可证</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附件</w:t>
            </w:r>
            <w:r>
              <w:rPr>
                <w:rFonts w:ascii="Times New Roman" w:hAnsi="Times New Roman" w:eastAsia="宋体" w:cs="Times New Roman"/>
                <w:sz w:val="24"/>
              </w:rPr>
              <w:t>6</w:t>
            </w:r>
            <w:r>
              <w:rPr>
                <w:rFonts w:hint="eastAsia" w:ascii="Times New Roman" w:hAnsi="Times New Roman" w:eastAsia="宋体" w:cs="Times New Roman"/>
                <w:sz w:val="24"/>
              </w:rPr>
              <w:t>：监测报告</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附件</w:t>
            </w:r>
            <w:r>
              <w:rPr>
                <w:rFonts w:ascii="Times New Roman" w:hAnsi="Times New Roman" w:eastAsia="宋体" w:cs="Times New Roman"/>
                <w:sz w:val="24"/>
              </w:rPr>
              <w:t>7</w:t>
            </w:r>
            <w:r>
              <w:rPr>
                <w:rFonts w:hint="eastAsia" w:ascii="Times New Roman" w:hAnsi="Times New Roman" w:eastAsia="宋体" w:cs="Times New Roman"/>
                <w:sz w:val="24"/>
              </w:rPr>
              <w:t>：新团河备用水源地核销文件</w:t>
            </w:r>
          </w:p>
          <w:p>
            <w:pPr>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附件</w:t>
            </w:r>
            <w:r>
              <w:rPr>
                <w:rFonts w:ascii="Times New Roman" w:hAnsi="Times New Roman" w:eastAsia="宋体" w:cs="Times New Roman"/>
                <w:color w:val="000000" w:themeColor="text1"/>
                <w:sz w:val="24"/>
                <w14:textFill>
                  <w14:solidFill>
                    <w14:schemeClr w14:val="tx1"/>
                  </w14:solidFill>
                </w14:textFill>
              </w:rPr>
              <w:t>8</w:t>
            </w:r>
            <w:r>
              <w:rPr>
                <w:rFonts w:hint="eastAsia" w:ascii="Times New Roman" w:hAnsi="Times New Roman" w:eastAsia="宋体" w:cs="Times New Roman"/>
                <w:color w:val="000000" w:themeColor="text1"/>
                <w:sz w:val="24"/>
                <w14:textFill>
                  <w14:solidFill>
                    <w14:schemeClr w14:val="tx1"/>
                  </w14:solidFill>
                </w14:textFill>
              </w:rPr>
              <w:t>：江苏省生态环境厅部长信箱答复</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附件</w:t>
            </w:r>
            <w:r>
              <w:rPr>
                <w:rFonts w:ascii="Times New Roman" w:hAnsi="Times New Roman" w:eastAsia="宋体" w:cs="Times New Roman"/>
                <w:sz w:val="24"/>
              </w:rPr>
              <w:t>9</w:t>
            </w:r>
            <w:r>
              <w:rPr>
                <w:rFonts w:hint="eastAsia" w:ascii="Times New Roman" w:hAnsi="Times New Roman" w:eastAsia="宋体" w:cs="Times New Roman"/>
                <w:sz w:val="24"/>
              </w:rPr>
              <w:t>：危废处置协议</w:t>
            </w: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ind w:firstLine="480" w:firstLineChars="200"/>
              <w:rPr>
                <w:rFonts w:ascii="Times New Roman" w:hAnsi="Times New Roman" w:eastAsia="宋体" w:cs="Times New Roman"/>
                <w:sz w:val="24"/>
              </w:rPr>
            </w:pPr>
          </w:p>
          <w:p>
            <w:pPr>
              <w:spacing w:line="360" w:lineRule="auto"/>
              <w:rPr>
                <w:rFonts w:ascii="Times New Roman" w:hAnsi="Times New Roman" w:eastAsia="宋体" w:cs="Times New Roman"/>
                <w:sz w:val="24"/>
              </w:rPr>
            </w:pPr>
          </w:p>
        </w:tc>
      </w:tr>
    </w:tbl>
    <w:p>
      <w:pPr>
        <w:rPr>
          <w:rFonts w:ascii="Times New Roman" w:hAnsi="Times New Roman" w:eastAsia="宋体" w:cs="Times New Roman"/>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widowControl/>
        <w:adjustRightInd w:val="0"/>
        <w:snapToGrid w:val="0"/>
        <w:spacing w:line="300" w:lineRule="exact"/>
        <w:jc w:val="center"/>
        <w:rPr>
          <w:rFonts w:ascii="Times New Roman" w:hAnsi="Times New Roman" w:eastAsia="宋体" w:cs="Times New Roman"/>
          <w:b/>
          <w:color w:val="000000"/>
          <w:kern w:val="0"/>
          <w:sz w:val="28"/>
          <w:szCs w:val="28"/>
        </w:rPr>
      </w:pPr>
      <w:r>
        <w:rPr>
          <w:rFonts w:ascii="Times New Roman" w:hAnsi="Times New Roman" w:eastAsia="宋体" w:cs="Times New Roman"/>
          <w:b/>
          <w:color w:val="000000"/>
          <w:kern w:val="0"/>
          <w:sz w:val="28"/>
          <w:szCs w:val="28"/>
        </w:rPr>
        <w:t>建设项目竣工环境保护“三同时”验收登记表</w:t>
      </w:r>
    </w:p>
    <w:p>
      <w:pPr>
        <w:widowControl/>
        <w:adjustRightInd w:val="0"/>
        <w:snapToGrid w:val="0"/>
        <w:spacing w:line="300" w:lineRule="exact"/>
        <w:jc w:val="center"/>
        <w:rPr>
          <w:rFonts w:ascii="Times New Roman" w:hAnsi="Times New Roman" w:eastAsia="宋体" w:cs="Times New Roman"/>
          <w:b/>
          <w:color w:val="000000"/>
          <w:kern w:val="0"/>
          <w:szCs w:val="21"/>
        </w:rPr>
      </w:pPr>
    </w:p>
    <w:p>
      <w:pPr>
        <w:widowControl/>
        <w:adjustRightInd w:val="0"/>
        <w:snapToGrid w:val="0"/>
        <w:jc w:val="left"/>
        <w:rPr>
          <w:rFonts w:ascii="Times New Roman" w:hAnsi="Times New Roman" w:eastAsia="宋体" w:cs="Times New Roman"/>
          <w:bCs/>
          <w:kern w:val="0"/>
          <w:szCs w:val="21"/>
        </w:rPr>
      </w:pPr>
      <w:r>
        <w:rPr>
          <w:rFonts w:ascii="Times New Roman" w:hAnsi="Times New Roman" w:eastAsia="宋体" w:cs="Times New Roman"/>
          <w:bCs/>
          <w:kern w:val="0"/>
          <w:szCs w:val="21"/>
        </w:rPr>
        <w:t>填表单位（盖章）</w:t>
      </w:r>
      <w:r>
        <w:rPr>
          <w:rFonts w:ascii="Times New Roman" w:hAnsi="Times New Roman" w:eastAsia="宋体" w:cs="Times New Roman"/>
          <w:bCs/>
          <w:szCs w:val="21"/>
        </w:rPr>
        <w:t xml:space="preserve">：                               </w:t>
      </w:r>
      <w:r>
        <w:rPr>
          <w:rFonts w:ascii="Times New Roman" w:hAnsi="Times New Roman" w:eastAsia="宋体" w:cs="Times New Roman"/>
          <w:bCs/>
          <w:kern w:val="0"/>
          <w:szCs w:val="21"/>
        </w:rPr>
        <w:t>填表人（签字）：                                项目经办人（签字）：</w:t>
      </w:r>
    </w:p>
    <w:tbl>
      <w:tblPr>
        <w:tblStyle w:val="16"/>
        <w:tblW w:w="15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97"/>
        <w:gridCol w:w="987"/>
        <w:gridCol w:w="6"/>
        <w:gridCol w:w="511"/>
        <w:gridCol w:w="588"/>
        <w:gridCol w:w="1137"/>
        <w:gridCol w:w="679"/>
        <w:gridCol w:w="510"/>
        <w:gridCol w:w="1475"/>
        <w:gridCol w:w="118"/>
        <w:gridCol w:w="1027"/>
        <w:gridCol w:w="556"/>
        <w:gridCol w:w="134"/>
        <w:gridCol w:w="554"/>
        <w:gridCol w:w="894"/>
        <w:gridCol w:w="1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tcMar>
              <w:left w:w="57" w:type="dxa"/>
              <w:right w:w="57" w:type="dxa"/>
            </w:tcMar>
            <w:textDirection w:val="tbRlV"/>
            <w:vAlign w:val="center"/>
          </w:tcPr>
          <w:p>
            <w:pPr>
              <w:widowControl/>
              <w:adjustRightInd w:val="0"/>
              <w:snapToGrid w:val="0"/>
              <w:ind w:left="113" w:right="113"/>
              <w:jc w:val="center"/>
              <w:rPr>
                <w:rFonts w:ascii="Times New Roman" w:hAnsi="Times New Roman" w:eastAsia="宋体" w:cs="Times New Roman"/>
                <w:bCs/>
                <w:sz w:val="15"/>
                <w:szCs w:val="15"/>
              </w:rPr>
            </w:pPr>
            <w:r>
              <w:rPr>
                <w:rFonts w:ascii="Times New Roman" w:hAnsi="Times New Roman" w:eastAsia="宋体" w:cs="Times New Roman"/>
                <w:bCs/>
                <w:sz w:val="18"/>
                <w:szCs w:val="18"/>
              </w:rPr>
              <w:t>建设项目</w:t>
            </w: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项目名称</w:t>
            </w:r>
          </w:p>
        </w:tc>
        <w:tc>
          <w:tcPr>
            <w:tcW w:w="5396" w:type="dxa"/>
            <w:gridSpan w:val="7"/>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江苏乐开机电有限公司冷锻产品和模具加工建设项目</w:t>
            </w:r>
          </w:p>
        </w:tc>
        <w:tc>
          <w:tcPr>
            <w:tcW w:w="181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项目代码</w:t>
            </w:r>
          </w:p>
        </w:tc>
        <w:tc>
          <w:tcPr>
            <w:tcW w:w="1985"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w:t>
            </w:r>
          </w:p>
        </w:tc>
        <w:tc>
          <w:tcPr>
            <w:tcW w:w="1701"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建设地点</w:t>
            </w:r>
          </w:p>
        </w:tc>
        <w:tc>
          <w:tcPr>
            <w:tcW w:w="2584" w:type="dxa"/>
            <w:gridSpan w:val="4"/>
            <w:tcMar>
              <w:left w:w="57" w:type="dxa"/>
              <w:right w:w="57" w:type="dxa"/>
            </w:tcMar>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盐城市大丰区经济开发区南翔西路65号（现有厂区4#生产车间内）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widowControl/>
              <w:adjustRightInd w:val="0"/>
              <w:snapToGrid w:val="0"/>
              <w:jc w:val="left"/>
              <w:rPr>
                <w:rFonts w:ascii="Times New Roman" w:hAnsi="Times New Roman" w:eastAsia="宋体" w:cs="Times New Roman"/>
                <w:bCs/>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行业类别（分类管理名录）</w:t>
            </w:r>
          </w:p>
        </w:tc>
        <w:tc>
          <w:tcPr>
            <w:tcW w:w="5396" w:type="dxa"/>
            <w:gridSpan w:val="7"/>
            <w:tcMar>
              <w:left w:w="57" w:type="dxa"/>
              <w:right w:w="57" w:type="dxa"/>
            </w:tcMar>
            <w:vAlign w:val="center"/>
          </w:tcPr>
          <w:p>
            <w:pPr>
              <w:jc w:val="center"/>
              <w:rPr>
                <w:rFonts w:ascii="Times New Roman" w:hAnsi="Times New Roman" w:eastAsia="宋体" w:cs="Times New Roman"/>
                <w:sz w:val="18"/>
                <w:szCs w:val="18"/>
              </w:rPr>
            </w:pPr>
            <w:r>
              <w:rPr>
                <w:rFonts w:ascii="Times New Roman" w:hAnsi="Times New Roman" w:eastAsia="宋体" w:cs="Times New Roman"/>
                <w:sz w:val="18"/>
                <w:szCs w:val="18"/>
              </w:rPr>
              <w:t>其他通用零部件制造[C3489]</w:t>
            </w:r>
          </w:p>
        </w:tc>
        <w:tc>
          <w:tcPr>
            <w:tcW w:w="181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建设性质</w:t>
            </w:r>
          </w:p>
        </w:tc>
        <w:tc>
          <w:tcPr>
            <w:tcW w:w="1985"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□新建</w:t>
            </w:r>
            <w:r>
              <w:rPr>
                <w:rFonts w:ascii="Times New Roman" w:hAnsi="Times New Roman" w:eastAsia="宋体" w:cs="Times New Roman"/>
                <w:bCs/>
                <w:sz w:val="18"/>
                <w:szCs w:val="18"/>
                <w:lang w:val="zh-CN"/>
              </w:rPr>
              <w:t>√</w:t>
            </w:r>
            <w:r>
              <w:rPr>
                <w:rFonts w:ascii="Times New Roman" w:hAnsi="Times New Roman" w:eastAsia="宋体" w:cs="Times New Roman"/>
                <w:bCs/>
                <w:sz w:val="18"/>
                <w:szCs w:val="18"/>
              </w:rPr>
              <w:t>改扩建□技术改造</w:t>
            </w:r>
          </w:p>
        </w:tc>
        <w:tc>
          <w:tcPr>
            <w:tcW w:w="1701"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项目厂区中心经度/纬度</w:t>
            </w:r>
          </w:p>
        </w:tc>
        <w:tc>
          <w:tcPr>
            <w:tcW w:w="2584" w:type="dxa"/>
            <w:gridSpan w:val="4"/>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widowControl/>
              <w:adjustRightInd w:val="0"/>
              <w:snapToGrid w:val="0"/>
              <w:jc w:val="left"/>
              <w:rPr>
                <w:rFonts w:ascii="Times New Roman" w:hAnsi="Times New Roman" w:eastAsia="宋体" w:cs="Times New Roman"/>
                <w:bCs/>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设计生产能力</w:t>
            </w:r>
          </w:p>
        </w:tc>
        <w:tc>
          <w:tcPr>
            <w:tcW w:w="5396" w:type="dxa"/>
            <w:gridSpan w:val="7"/>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3000</w:t>
            </w:r>
            <w:r>
              <w:rPr>
                <w:rFonts w:hint="eastAsia" w:ascii="Times New Roman" w:hAnsi="Times New Roman" w:eastAsia="宋体" w:cs="Times New Roman"/>
                <w:bCs/>
                <w:sz w:val="18"/>
                <w:szCs w:val="18"/>
              </w:rPr>
              <w:t>万吨模具材料</w:t>
            </w:r>
          </w:p>
        </w:tc>
        <w:tc>
          <w:tcPr>
            <w:tcW w:w="181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实际生产能力</w:t>
            </w:r>
          </w:p>
        </w:tc>
        <w:tc>
          <w:tcPr>
            <w:tcW w:w="1985"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3000</w:t>
            </w:r>
            <w:r>
              <w:rPr>
                <w:rFonts w:hint="eastAsia" w:ascii="Times New Roman" w:hAnsi="Times New Roman" w:eastAsia="宋体" w:cs="Times New Roman"/>
                <w:bCs/>
                <w:sz w:val="18"/>
                <w:szCs w:val="18"/>
              </w:rPr>
              <w:t>万吨模具材料</w:t>
            </w:r>
          </w:p>
        </w:tc>
        <w:tc>
          <w:tcPr>
            <w:tcW w:w="1701"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环评单位</w:t>
            </w:r>
          </w:p>
        </w:tc>
        <w:tc>
          <w:tcPr>
            <w:tcW w:w="2584" w:type="dxa"/>
            <w:gridSpan w:val="4"/>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江苏南大环保科技有限公司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widowControl/>
              <w:adjustRightInd w:val="0"/>
              <w:snapToGrid w:val="0"/>
              <w:jc w:val="left"/>
              <w:rPr>
                <w:rFonts w:ascii="Times New Roman" w:hAnsi="Times New Roman" w:eastAsia="宋体" w:cs="Times New Roman"/>
                <w:bCs/>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环评文件审批机关</w:t>
            </w:r>
          </w:p>
        </w:tc>
        <w:tc>
          <w:tcPr>
            <w:tcW w:w="5396" w:type="dxa"/>
            <w:gridSpan w:val="7"/>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盐城市大丰生态环境局</w:t>
            </w:r>
          </w:p>
        </w:tc>
        <w:tc>
          <w:tcPr>
            <w:tcW w:w="181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审批文号</w:t>
            </w:r>
          </w:p>
        </w:tc>
        <w:tc>
          <w:tcPr>
            <w:tcW w:w="1985"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盐环表复</w:t>
            </w:r>
            <w:r>
              <w:rPr>
                <w:rFonts w:ascii="Times New Roman" w:hAnsi="Times New Roman" w:eastAsia="宋体" w:cs="Times New Roman"/>
                <w:bCs/>
                <w:sz w:val="18"/>
                <w:szCs w:val="18"/>
              </w:rPr>
              <w:t>[2021]82131号</w:t>
            </w:r>
          </w:p>
        </w:tc>
        <w:tc>
          <w:tcPr>
            <w:tcW w:w="1701"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环评文件类型</w:t>
            </w:r>
          </w:p>
        </w:tc>
        <w:tc>
          <w:tcPr>
            <w:tcW w:w="2584" w:type="dxa"/>
            <w:gridSpan w:val="4"/>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 w:hRule="atLeast"/>
          <w:jc w:val="center"/>
        </w:trPr>
        <w:tc>
          <w:tcPr>
            <w:tcW w:w="430" w:type="dxa"/>
            <w:vMerge w:val="continue"/>
            <w:tcMar>
              <w:left w:w="57" w:type="dxa"/>
              <w:right w:w="57" w:type="dxa"/>
            </w:tcMar>
            <w:vAlign w:val="center"/>
          </w:tcPr>
          <w:p>
            <w:pPr>
              <w:widowControl/>
              <w:adjustRightInd w:val="0"/>
              <w:snapToGrid w:val="0"/>
              <w:jc w:val="left"/>
              <w:rPr>
                <w:rFonts w:ascii="Times New Roman" w:hAnsi="Times New Roman" w:eastAsia="宋体" w:cs="Times New Roman"/>
                <w:bCs/>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开工日期</w:t>
            </w:r>
          </w:p>
        </w:tc>
        <w:tc>
          <w:tcPr>
            <w:tcW w:w="5396" w:type="dxa"/>
            <w:gridSpan w:val="7"/>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2021年6月</w:t>
            </w:r>
          </w:p>
        </w:tc>
        <w:tc>
          <w:tcPr>
            <w:tcW w:w="181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竣工日期</w:t>
            </w:r>
          </w:p>
        </w:tc>
        <w:tc>
          <w:tcPr>
            <w:tcW w:w="1985"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2021</w:t>
            </w:r>
            <w:r>
              <w:rPr>
                <w:rFonts w:hint="eastAsia" w:ascii="Times New Roman" w:hAnsi="Times New Roman" w:eastAsia="宋体" w:cs="Times New Roman"/>
                <w:bCs/>
                <w:sz w:val="18"/>
                <w:szCs w:val="18"/>
              </w:rPr>
              <w:t>年9月</w:t>
            </w:r>
          </w:p>
        </w:tc>
        <w:tc>
          <w:tcPr>
            <w:tcW w:w="1701"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排污许可证申领时间</w:t>
            </w:r>
          </w:p>
        </w:tc>
        <w:tc>
          <w:tcPr>
            <w:tcW w:w="2584" w:type="dxa"/>
            <w:gridSpan w:val="4"/>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widowControl/>
              <w:adjustRightInd w:val="0"/>
              <w:snapToGrid w:val="0"/>
              <w:jc w:val="left"/>
              <w:rPr>
                <w:rFonts w:ascii="Times New Roman" w:hAnsi="Times New Roman" w:eastAsia="宋体" w:cs="Times New Roman"/>
                <w:bCs/>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环保设施设计单位</w:t>
            </w:r>
          </w:p>
        </w:tc>
        <w:tc>
          <w:tcPr>
            <w:tcW w:w="5396" w:type="dxa"/>
            <w:gridSpan w:val="7"/>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w:t>
            </w:r>
          </w:p>
        </w:tc>
        <w:tc>
          <w:tcPr>
            <w:tcW w:w="181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kern w:val="0"/>
                <w:sz w:val="18"/>
                <w:szCs w:val="18"/>
              </w:rPr>
            </w:pPr>
            <w:r>
              <w:rPr>
                <w:rFonts w:ascii="Times New Roman" w:hAnsi="Times New Roman" w:eastAsia="宋体" w:cs="Times New Roman"/>
                <w:bCs/>
                <w:kern w:val="0"/>
                <w:sz w:val="18"/>
                <w:szCs w:val="18"/>
              </w:rPr>
              <w:t>环保设施施工单位</w:t>
            </w:r>
          </w:p>
        </w:tc>
        <w:tc>
          <w:tcPr>
            <w:tcW w:w="1985"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w:t>
            </w:r>
          </w:p>
        </w:tc>
        <w:tc>
          <w:tcPr>
            <w:tcW w:w="1701"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本工程排污许可证编号</w:t>
            </w:r>
          </w:p>
        </w:tc>
        <w:tc>
          <w:tcPr>
            <w:tcW w:w="2584" w:type="dxa"/>
            <w:gridSpan w:val="4"/>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widowControl/>
              <w:adjustRightInd w:val="0"/>
              <w:snapToGrid w:val="0"/>
              <w:jc w:val="left"/>
              <w:rPr>
                <w:rFonts w:ascii="Times New Roman" w:hAnsi="Times New Roman" w:eastAsia="宋体" w:cs="Times New Roman"/>
                <w:bCs/>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验收单位</w:t>
            </w:r>
          </w:p>
        </w:tc>
        <w:tc>
          <w:tcPr>
            <w:tcW w:w="5396" w:type="dxa"/>
            <w:gridSpan w:val="7"/>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江苏乐开机电有限公司</w:t>
            </w:r>
          </w:p>
        </w:tc>
        <w:tc>
          <w:tcPr>
            <w:tcW w:w="181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环保设施监测单位</w:t>
            </w:r>
          </w:p>
        </w:tc>
        <w:tc>
          <w:tcPr>
            <w:tcW w:w="1985"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浙江易测环境科技有限公司</w:t>
            </w:r>
          </w:p>
        </w:tc>
        <w:tc>
          <w:tcPr>
            <w:tcW w:w="1701"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验收监测时工况</w:t>
            </w:r>
          </w:p>
        </w:tc>
        <w:tc>
          <w:tcPr>
            <w:tcW w:w="2584" w:type="dxa"/>
            <w:gridSpan w:val="4"/>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满足验收条件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widowControl/>
              <w:adjustRightInd w:val="0"/>
              <w:snapToGrid w:val="0"/>
              <w:jc w:val="left"/>
              <w:rPr>
                <w:rFonts w:ascii="Times New Roman" w:hAnsi="Times New Roman" w:eastAsia="宋体" w:cs="Times New Roman"/>
                <w:bCs/>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投资总概算（万元）</w:t>
            </w:r>
          </w:p>
        </w:tc>
        <w:tc>
          <w:tcPr>
            <w:tcW w:w="5396" w:type="dxa"/>
            <w:gridSpan w:val="7"/>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3000</w:t>
            </w:r>
          </w:p>
        </w:tc>
        <w:tc>
          <w:tcPr>
            <w:tcW w:w="1816" w:type="dxa"/>
            <w:gridSpan w:val="2"/>
            <w:tcMar>
              <w:left w:w="57" w:type="dxa"/>
              <w:right w:w="57" w:type="dxa"/>
            </w:tcMar>
            <w:vAlign w:val="center"/>
          </w:tcPr>
          <w:p>
            <w:pPr>
              <w:widowControl/>
              <w:tabs>
                <w:tab w:val="left" w:pos="690"/>
              </w:tabs>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环保投资总概算（万元）</w:t>
            </w:r>
          </w:p>
        </w:tc>
        <w:tc>
          <w:tcPr>
            <w:tcW w:w="1985"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120</w:t>
            </w:r>
          </w:p>
        </w:tc>
        <w:tc>
          <w:tcPr>
            <w:tcW w:w="1701" w:type="dxa"/>
            <w:gridSpan w:val="3"/>
            <w:tcMar>
              <w:left w:w="57" w:type="dxa"/>
              <w:right w:w="57" w:type="dxa"/>
            </w:tcMar>
            <w:vAlign w:val="center"/>
          </w:tcPr>
          <w:p>
            <w:pPr>
              <w:widowControl/>
              <w:tabs>
                <w:tab w:val="left" w:pos="690"/>
              </w:tabs>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所占比例（%）</w:t>
            </w:r>
          </w:p>
        </w:tc>
        <w:tc>
          <w:tcPr>
            <w:tcW w:w="2584" w:type="dxa"/>
            <w:gridSpan w:val="4"/>
            <w:tcMar>
              <w:left w:w="57" w:type="dxa"/>
              <w:right w:w="57" w:type="dxa"/>
            </w:tcMar>
            <w:vAlign w:val="center"/>
          </w:tcPr>
          <w:p>
            <w:pPr>
              <w:widowControl/>
              <w:tabs>
                <w:tab w:val="left" w:pos="690"/>
              </w:tabs>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widowControl/>
              <w:adjustRightInd w:val="0"/>
              <w:snapToGrid w:val="0"/>
              <w:jc w:val="left"/>
              <w:rPr>
                <w:rFonts w:ascii="Times New Roman" w:hAnsi="Times New Roman" w:eastAsia="宋体" w:cs="Times New Roman"/>
                <w:bCs/>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实际总投资</w:t>
            </w:r>
          </w:p>
        </w:tc>
        <w:tc>
          <w:tcPr>
            <w:tcW w:w="5396" w:type="dxa"/>
            <w:gridSpan w:val="7"/>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3000</w:t>
            </w:r>
          </w:p>
        </w:tc>
        <w:tc>
          <w:tcPr>
            <w:tcW w:w="1816" w:type="dxa"/>
            <w:gridSpan w:val="2"/>
            <w:tcMar>
              <w:left w:w="57" w:type="dxa"/>
              <w:right w:w="57" w:type="dxa"/>
            </w:tcMar>
            <w:vAlign w:val="center"/>
          </w:tcPr>
          <w:p>
            <w:pPr>
              <w:widowControl/>
              <w:tabs>
                <w:tab w:val="left" w:pos="690"/>
              </w:tabs>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实际环保投资（万元）</w:t>
            </w:r>
          </w:p>
        </w:tc>
        <w:tc>
          <w:tcPr>
            <w:tcW w:w="1985"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120</w:t>
            </w:r>
          </w:p>
        </w:tc>
        <w:tc>
          <w:tcPr>
            <w:tcW w:w="1701"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所占比例（%）</w:t>
            </w:r>
          </w:p>
        </w:tc>
        <w:tc>
          <w:tcPr>
            <w:tcW w:w="2584" w:type="dxa"/>
            <w:gridSpan w:val="4"/>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tcMar>
              <w:left w:w="57" w:type="dxa"/>
              <w:right w:w="57" w:type="dxa"/>
            </w:tcMar>
            <w:vAlign w:val="center"/>
          </w:tcPr>
          <w:p>
            <w:pPr>
              <w:widowControl/>
              <w:adjustRightInd w:val="0"/>
              <w:snapToGrid w:val="0"/>
              <w:jc w:val="left"/>
              <w:rPr>
                <w:rFonts w:ascii="Times New Roman" w:hAnsi="Times New Roman" w:eastAsia="宋体" w:cs="Times New Roman"/>
                <w:bCs/>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废水治理（万元）</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1379"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废气治理（万元）</w:t>
            </w:r>
          </w:p>
        </w:tc>
        <w:tc>
          <w:tcPr>
            <w:tcW w:w="109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150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噪声治理（万元）</w:t>
            </w:r>
          </w:p>
        </w:tc>
        <w:tc>
          <w:tcPr>
            <w:tcW w:w="58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2</w:t>
            </w:r>
          </w:p>
        </w:tc>
        <w:tc>
          <w:tcPr>
            <w:tcW w:w="181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固体废物治理（万元）</w:t>
            </w:r>
          </w:p>
        </w:tc>
        <w:tc>
          <w:tcPr>
            <w:tcW w:w="1985"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1</w:t>
            </w:r>
          </w:p>
        </w:tc>
        <w:tc>
          <w:tcPr>
            <w:tcW w:w="1701"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绿化及生态（万元）</w:t>
            </w:r>
          </w:p>
        </w:tc>
        <w:tc>
          <w:tcPr>
            <w:tcW w:w="688"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其他（万元）</w:t>
            </w:r>
          </w:p>
        </w:tc>
        <w:tc>
          <w:tcPr>
            <w:tcW w:w="1002"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tcMar>
              <w:left w:w="57" w:type="dxa"/>
              <w:right w:w="57" w:type="dxa"/>
            </w:tcMar>
            <w:vAlign w:val="center"/>
          </w:tcPr>
          <w:p>
            <w:pPr>
              <w:widowControl/>
              <w:adjustRightInd w:val="0"/>
              <w:snapToGrid w:val="0"/>
              <w:jc w:val="left"/>
              <w:rPr>
                <w:rFonts w:ascii="Times New Roman" w:hAnsi="Times New Roman" w:eastAsia="宋体" w:cs="Times New Roman"/>
                <w:bCs/>
                <w:sz w:val="15"/>
                <w:szCs w:val="15"/>
              </w:rPr>
            </w:pPr>
          </w:p>
        </w:tc>
        <w:tc>
          <w:tcPr>
            <w:tcW w:w="196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新增废水处理设施能力</w:t>
            </w:r>
          </w:p>
        </w:tc>
        <w:tc>
          <w:tcPr>
            <w:tcW w:w="5396" w:type="dxa"/>
            <w:gridSpan w:val="7"/>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w:t>
            </w:r>
          </w:p>
        </w:tc>
        <w:tc>
          <w:tcPr>
            <w:tcW w:w="181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新增废气处理设施能力</w:t>
            </w:r>
          </w:p>
        </w:tc>
        <w:tc>
          <w:tcPr>
            <w:tcW w:w="1985"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701"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年平均工作时</w:t>
            </w:r>
          </w:p>
        </w:tc>
        <w:tc>
          <w:tcPr>
            <w:tcW w:w="2584" w:type="dxa"/>
            <w:gridSpan w:val="4"/>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运营单位</w:t>
            </w:r>
          </w:p>
        </w:tc>
        <w:tc>
          <w:tcPr>
            <w:tcW w:w="4291" w:type="dxa"/>
            <w:gridSpan w:val="4"/>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江苏乐开机电有限公司</w:t>
            </w:r>
          </w:p>
        </w:tc>
        <w:tc>
          <w:tcPr>
            <w:tcW w:w="3431" w:type="dxa"/>
            <w:gridSpan w:val="6"/>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运营单位社会统一信用代码（或组织机构代码）</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9132098275323969X6</w:t>
            </w:r>
          </w:p>
        </w:tc>
        <w:tc>
          <w:tcPr>
            <w:tcW w:w="1717"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验收时间</w:t>
            </w:r>
          </w:p>
        </w:tc>
        <w:tc>
          <w:tcPr>
            <w:tcW w:w="2450"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2022年9月1日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tcMar>
              <w:left w:w="57" w:type="dxa"/>
              <w:right w:w="57" w:type="dxa"/>
            </w:tcMar>
            <w:vAlign w:val="center"/>
          </w:tcPr>
          <w:p>
            <w:pPr>
              <w:widowControl/>
              <w:adjustRightInd w:val="0"/>
              <w:snapToGrid w:val="0"/>
              <w:jc w:val="center"/>
              <w:rPr>
                <w:rFonts w:ascii="Times New Roman" w:hAnsi="Times New Roman" w:eastAsia="宋体" w:cs="Times New Roman"/>
                <w:bCs/>
                <w:spacing w:val="20"/>
                <w:sz w:val="18"/>
                <w:szCs w:val="18"/>
              </w:rPr>
            </w:pPr>
            <w:r>
              <w:rPr>
                <w:rFonts w:ascii="Times New Roman" w:hAnsi="Times New Roman" w:eastAsia="宋体" w:cs="Times New Roman"/>
                <w:bCs/>
                <w:spacing w:val="20"/>
                <w:sz w:val="18"/>
                <w:szCs w:val="18"/>
              </w:rPr>
              <w:t>污染</w:t>
            </w:r>
          </w:p>
          <w:p>
            <w:pPr>
              <w:widowControl/>
              <w:adjustRightInd w:val="0"/>
              <w:snapToGrid w:val="0"/>
              <w:jc w:val="center"/>
              <w:rPr>
                <w:rFonts w:ascii="Times New Roman" w:hAnsi="Times New Roman" w:eastAsia="宋体" w:cs="Times New Roman"/>
                <w:bCs/>
                <w:spacing w:val="20"/>
                <w:sz w:val="18"/>
                <w:szCs w:val="18"/>
              </w:rPr>
            </w:pPr>
            <w:r>
              <w:rPr>
                <w:rFonts w:ascii="Times New Roman" w:hAnsi="Times New Roman" w:eastAsia="宋体" w:cs="Times New Roman"/>
                <w:bCs/>
                <w:spacing w:val="20"/>
                <w:sz w:val="18"/>
                <w:szCs w:val="18"/>
              </w:rPr>
              <w:t>物排</w:t>
            </w:r>
          </w:p>
          <w:p>
            <w:pPr>
              <w:widowControl/>
              <w:adjustRightInd w:val="0"/>
              <w:snapToGrid w:val="0"/>
              <w:jc w:val="center"/>
              <w:rPr>
                <w:rFonts w:ascii="Times New Roman" w:hAnsi="Times New Roman" w:eastAsia="宋体" w:cs="Times New Roman"/>
                <w:bCs/>
                <w:spacing w:val="20"/>
                <w:sz w:val="18"/>
                <w:szCs w:val="18"/>
              </w:rPr>
            </w:pPr>
            <w:r>
              <w:rPr>
                <w:rFonts w:ascii="Times New Roman" w:hAnsi="Times New Roman" w:eastAsia="宋体" w:cs="Times New Roman"/>
                <w:bCs/>
                <w:spacing w:val="20"/>
                <w:sz w:val="18"/>
                <w:szCs w:val="18"/>
              </w:rPr>
              <w:t>放达</w:t>
            </w:r>
          </w:p>
          <w:p>
            <w:pPr>
              <w:widowControl/>
              <w:adjustRightInd w:val="0"/>
              <w:snapToGrid w:val="0"/>
              <w:jc w:val="center"/>
              <w:rPr>
                <w:rFonts w:ascii="Times New Roman" w:hAnsi="Times New Roman" w:eastAsia="宋体" w:cs="Times New Roman"/>
                <w:bCs/>
                <w:spacing w:val="20"/>
                <w:sz w:val="18"/>
                <w:szCs w:val="18"/>
              </w:rPr>
            </w:pPr>
            <w:r>
              <w:rPr>
                <w:rFonts w:ascii="Times New Roman" w:hAnsi="Times New Roman" w:eastAsia="宋体" w:cs="Times New Roman"/>
                <w:bCs/>
                <w:spacing w:val="20"/>
                <w:sz w:val="18"/>
                <w:szCs w:val="18"/>
              </w:rPr>
              <w:t>标与</w:t>
            </w:r>
          </w:p>
          <w:p>
            <w:pPr>
              <w:widowControl/>
              <w:adjustRightInd w:val="0"/>
              <w:snapToGrid w:val="0"/>
              <w:jc w:val="center"/>
              <w:rPr>
                <w:rFonts w:ascii="Times New Roman" w:hAnsi="Times New Roman" w:eastAsia="宋体" w:cs="Times New Roman"/>
                <w:bCs/>
                <w:spacing w:val="20"/>
                <w:sz w:val="18"/>
                <w:szCs w:val="18"/>
              </w:rPr>
            </w:pPr>
            <w:r>
              <w:rPr>
                <w:rFonts w:ascii="Times New Roman" w:hAnsi="Times New Roman" w:eastAsia="宋体" w:cs="Times New Roman"/>
                <w:bCs/>
                <w:spacing w:val="20"/>
                <w:sz w:val="18"/>
                <w:szCs w:val="18"/>
              </w:rPr>
              <w:t>总量</w:t>
            </w:r>
          </w:p>
          <w:p>
            <w:pPr>
              <w:widowControl/>
              <w:adjustRightInd w:val="0"/>
              <w:snapToGrid w:val="0"/>
              <w:jc w:val="center"/>
              <w:rPr>
                <w:rFonts w:ascii="Times New Roman" w:hAnsi="Times New Roman" w:eastAsia="宋体" w:cs="Times New Roman"/>
                <w:bCs/>
                <w:spacing w:val="20"/>
                <w:sz w:val="18"/>
                <w:szCs w:val="18"/>
              </w:rPr>
            </w:pPr>
            <w:r>
              <w:rPr>
                <w:rFonts w:ascii="Times New Roman" w:hAnsi="Times New Roman" w:eastAsia="宋体" w:cs="Times New Roman"/>
                <w:bCs/>
                <w:spacing w:val="20"/>
                <w:sz w:val="18"/>
                <w:szCs w:val="18"/>
              </w:rPr>
              <w:t>控制（工</w:t>
            </w:r>
          </w:p>
          <w:p>
            <w:pPr>
              <w:widowControl/>
              <w:adjustRightInd w:val="0"/>
              <w:snapToGrid w:val="0"/>
              <w:jc w:val="center"/>
              <w:rPr>
                <w:rFonts w:ascii="Times New Roman" w:hAnsi="Times New Roman" w:eastAsia="宋体" w:cs="Times New Roman"/>
                <w:bCs/>
                <w:spacing w:val="20"/>
                <w:sz w:val="18"/>
                <w:szCs w:val="18"/>
              </w:rPr>
            </w:pPr>
            <w:r>
              <w:rPr>
                <w:rFonts w:ascii="Times New Roman" w:hAnsi="Times New Roman" w:eastAsia="宋体" w:cs="Times New Roman"/>
                <w:bCs/>
                <w:spacing w:val="20"/>
                <w:sz w:val="18"/>
                <w:szCs w:val="18"/>
              </w:rPr>
              <w:t>业建</w:t>
            </w:r>
          </w:p>
          <w:p>
            <w:pPr>
              <w:widowControl/>
              <w:adjustRightInd w:val="0"/>
              <w:snapToGrid w:val="0"/>
              <w:jc w:val="center"/>
              <w:rPr>
                <w:rFonts w:ascii="Times New Roman" w:hAnsi="Times New Roman" w:eastAsia="宋体" w:cs="Times New Roman"/>
                <w:bCs/>
                <w:spacing w:val="20"/>
                <w:sz w:val="18"/>
                <w:szCs w:val="18"/>
              </w:rPr>
            </w:pPr>
            <w:r>
              <w:rPr>
                <w:rFonts w:ascii="Times New Roman" w:hAnsi="Times New Roman" w:eastAsia="宋体" w:cs="Times New Roman"/>
                <w:bCs/>
                <w:spacing w:val="20"/>
                <w:sz w:val="18"/>
                <w:szCs w:val="18"/>
              </w:rPr>
              <w:t>设项</w:t>
            </w:r>
          </w:p>
          <w:p>
            <w:pPr>
              <w:widowControl/>
              <w:adjustRightInd w:val="0"/>
              <w:snapToGrid w:val="0"/>
              <w:jc w:val="center"/>
              <w:rPr>
                <w:rFonts w:ascii="Times New Roman" w:hAnsi="Times New Roman" w:eastAsia="宋体" w:cs="Times New Roman"/>
                <w:bCs/>
                <w:spacing w:val="20"/>
                <w:sz w:val="18"/>
                <w:szCs w:val="18"/>
              </w:rPr>
            </w:pPr>
            <w:r>
              <w:rPr>
                <w:rFonts w:ascii="Times New Roman" w:hAnsi="Times New Roman" w:eastAsia="宋体" w:cs="Times New Roman"/>
                <w:bCs/>
                <w:spacing w:val="20"/>
                <w:sz w:val="18"/>
                <w:szCs w:val="18"/>
              </w:rPr>
              <w:t>目详填）</w:t>
            </w: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污染物</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原有排</w:t>
            </w:r>
          </w:p>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放量(1)</w:t>
            </w:r>
          </w:p>
        </w:tc>
        <w:tc>
          <w:tcPr>
            <w:tcW w:w="1379"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本期工程实际排放浓度(2)</w:t>
            </w:r>
          </w:p>
        </w:tc>
        <w:tc>
          <w:tcPr>
            <w:tcW w:w="109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本期工程允许排放浓度(3)</w:t>
            </w:r>
          </w:p>
        </w:tc>
        <w:tc>
          <w:tcPr>
            <w:tcW w:w="9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本期工程产生量(4)</w:t>
            </w:r>
          </w:p>
        </w:tc>
        <w:tc>
          <w:tcPr>
            <w:tcW w:w="109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本期工程自身削减量(5)</w:t>
            </w:r>
          </w:p>
        </w:tc>
        <w:tc>
          <w:tcPr>
            <w:tcW w:w="113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本期工程实际排放量(6)</w:t>
            </w:r>
          </w:p>
        </w:tc>
        <w:tc>
          <w:tcPr>
            <w:tcW w:w="118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本期工程核定排放总量(7)</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本期工程“以新带老”削减量(8)</w:t>
            </w:r>
          </w:p>
        </w:tc>
        <w:tc>
          <w:tcPr>
            <w:tcW w:w="102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全厂实际排放总量(9)</w:t>
            </w:r>
          </w:p>
        </w:tc>
        <w:tc>
          <w:tcPr>
            <w:tcW w:w="124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全厂核定排放总量(10)</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区域平衡替代削减量(11)</w:t>
            </w:r>
          </w:p>
        </w:tc>
        <w:tc>
          <w:tcPr>
            <w:tcW w:w="1002"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废水</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79"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9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993"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4700</w:t>
            </w:r>
          </w:p>
        </w:tc>
        <w:tc>
          <w:tcPr>
            <w:tcW w:w="109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0</w:t>
            </w:r>
          </w:p>
        </w:tc>
        <w:tc>
          <w:tcPr>
            <w:tcW w:w="1137"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89"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4700</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27"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244" w:type="dxa"/>
            <w:gridSpan w:val="3"/>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02"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化学需氧量</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79"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173</w:t>
            </w:r>
          </w:p>
        </w:tc>
        <w:tc>
          <w:tcPr>
            <w:tcW w:w="1097"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500</w:t>
            </w:r>
          </w:p>
        </w:tc>
        <w:tc>
          <w:tcPr>
            <w:tcW w:w="993" w:type="dxa"/>
            <w:gridSpan w:val="2"/>
            <w:shd w:val="clear" w:color="auto" w:fill="auto"/>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3.44</w:t>
            </w:r>
          </w:p>
        </w:tc>
        <w:tc>
          <w:tcPr>
            <w:tcW w:w="109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1.608</w:t>
            </w:r>
          </w:p>
        </w:tc>
        <w:tc>
          <w:tcPr>
            <w:tcW w:w="1137" w:type="dxa"/>
            <w:shd w:val="clear" w:color="auto" w:fill="auto"/>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89"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0.235</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27" w:type="dxa"/>
            <w:shd w:val="clear" w:color="auto" w:fill="auto"/>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244" w:type="dxa"/>
            <w:gridSpan w:val="3"/>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02"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氨氮</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79"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6.85</w:t>
            </w:r>
          </w:p>
        </w:tc>
        <w:tc>
          <w:tcPr>
            <w:tcW w:w="1097"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45</w:t>
            </w:r>
          </w:p>
        </w:tc>
        <w:tc>
          <w:tcPr>
            <w:tcW w:w="993" w:type="dxa"/>
            <w:gridSpan w:val="2"/>
            <w:shd w:val="clear" w:color="auto" w:fill="auto"/>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0.02</w:t>
            </w:r>
          </w:p>
        </w:tc>
        <w:tc>
          <w:tcPr>
            <w:tcW w:w="109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0</w:t>
            </w:r>
          </w:p>
        </w:tc>
        <w:tc>
          <w:tcPr>
            <w:tcW w:w="1137" w:type="dxa"/>
            <w:shd w:val="clear" w:color="auto" w:fill="auto"/>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89"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0.004</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27" w:type="dxa"/>
            <w:shd w:val="clear" w:color="auto" w:fill="auto"/>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244" w:type="dxa"/>
            <w:gridSpan w:val="3"/>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02"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悬浮物</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79"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21</w:t>
            </w:r>
          </w:p>
        </w:tc>
        <w:tc>
          <w:tcPr>
            <w:tcW w:w="1097"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400</w:t>
            </w:r>
          </w:p>
        </w:tc>
        <w:tc>
          <w:tcPr>
            <w:tcW w:w="993" w:type="dxa"/>
            <w:gridSpan w:val="2"/>
            <w:shd w:val="clear" w:color="auto" w:fill="auto"/>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1.72</w:t>
            </w:r>
          </w:p>
        </w:tc>
        <w:tc>
          <w:tcPr>
            <w:tcW w:w="109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1.218</w:t>
            </w:r>
          </w:p>
        </w:tc>
        <w:tc>
          <w:tcPr>
            <w:tcW w:w="1137" w:type="dxa"/>
            <w:shd w:val="clear" w:color="auto" w:fill="auto"/>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89"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0.047</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27" w:type="dxa"/>
            <w:shd w:val="clear" w:color="auto" w:fill="auto"/>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244" w:type="dxa"/>
            <w:gridSpan w:val="3"/>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02"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石油类</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79"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w:t>
            </w:r>
            <w:r>
              <w:rPr>
                <w:rFonts w:ascii="Times New Roman" w:hAnsi="Times New Roman" w:eastAsia="宋体" w:cs="Times New Roman"/>
                <w:bCs/>
                <w:sz w:val="18"/>
                <w:szCs w:val="18"/>
              </w:rPr>
              <w:t>.07</w:t>
            </w:r>
          </w:p>
        </w:tc>
        <w:tc>
          <w:tcPr>
            <w:tcW w:w="1097"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2</w:t>
            </w:r>
            <w:r>
              <w:rPr>
                <w:rFonts w:ascii="Times New Roman" w:hAnsi="Times New Roman" w:eastAsia="宋体" w:cs="Times New Roman"/>
                <w:bCs/>
                <w:sz w:val="18"/>
                <w:szCs w:val="18"/>
              </w:rPr>
              <w:t>0</w:t>
            </w:r>
          </w:p>
        </w:tc>
        <w:tc>
          <w:tcPr>
            <w:tcW w:w="993" w:type="dxa"/>
            <w:gridSpan w:val="2"/>
            <w:shd w:val="clear" w:color="auto" w:fill="auto"/>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w:t>
            </w:r>
            <w:r>
              <w:rPr>
                <w:rFonts w:ascii="Times New Roman" w:hAnsi="Times New Roman" w:eastAsia="宋体" w:cs="Times New Roman"/>
                <w:bCs/>
                <w:sz w:val="18"/>
                <w:szCs w:val="18"/>
              </w:rPr>
              <w:t>.12</w:t>
            </w:r>
          </w:p>
        </w:tc>
        <w:tc>
          <w:tcPr>
            <w:tcW w:w="109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w:t>
            </w:r>
            <w:r>
              <w:rPr>
                <w:rFonts w:ascii="Times New Roman" w:hAnsi="Times New Roman" w:eastAsia="宋体" w:cs="Times New Roman"/>
                <w:bCs/>
                <w:sz w:val="18"/>
                <w:szCs w:val="18"/>
              </w:rPr>
              <w:t>.101</w:t>
            </w:r>
          </w:p>
        </w:tc>
        <w:tc>
          <w:tcPr>
            <w:tcW w:w="1137" w:type="dxa"/>
            <w:shd w:val="clear" w:color="auto" w:fill="auto"/>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89"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w:t>
            </w:r>
            <w:r>
              <w:rPr>
                <w:rFonts w:ascii="Times New Roman" w:hAnsi="Times New Roman" w:eastAsia="宋体" w:cs="Times New Roman"/>
                <w:bCs/>
                <w:sz w:val="18"/>
                <w:szCs w:val="18"/>
              </w:rPr>
              <w:t>.0039</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27" w:type="dxa"/>
            <w:shd w:val="clear" w:color="auto" w:fill="auto"/>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24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02"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总磷</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79"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4.78</w:t>
            </w:r>
          </w:p>
        </w:tc>
        <w:tc>
          <w:tcPr>
            <w:tcW w:w="1097"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8</w:t>
            </w:r>
          </w:p>
        </w:tc>
        <w:tc>
          <w:tcPr>
            <w:tcW w:w="993" w:type="dxa"/>
            <w:gridSpan w:val="2"/>
            <w:shd w:val="clear" w:color="auto" w:fill="auto"/>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0.12</w:t>
            </w:r>
          </w:p>
        </w:tc>
        <w:tc>
          <w:tcPr>
            <w:tcW w:w="109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0.112</w:t>
            </w:r>
          </w:p>
        </w:tc>
        <w:tc>
          <w:tcPr>
            <w:tcW w:w="1137" w:type="dxa"/>
            <w:shd w:val="clear" w:color="auto" w:fill="auto"/>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89"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0.00235</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27" w:type="dxa"/>
            <w:shd w:val="clear" w:color="auto" w:fill="auto"/>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24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02"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阴离子表面活性剂</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79"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w:t>
            </w:r>
            <w:r>
              <w:rPr>
                <w:rFonts w:ascii="Times New Roman" w:hAnsi="Times New Roman" w:eastAsia="宋体" w:cs="Times New Roman"/>
                <w:bCs/>
                <w:sz w:val="18"/>
                <w:szCs w:val="18"/>
              </w:rPr>
              <w:t>.24</w:t>
            </w:r>
          </w:p>
        </w:tc>
        <w:tc>
          <w:tcPr>
            <w:tcW w:w="1097"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2</w:t>
            </w:r>
            <w:r>
              <w:rPr>
                <w:rFonts w:ascii="Times New Roman" w:hAnsi="Times New Roman" w:eastAsia="宋体" w:cs="Times New Roman"/>
                <w:bCs/>
                <w:sz w:val="18"/>
                <w:szCs w:val="18"/>
              </w:rPr>
              <w:t>0</w:t>
            </w:r>
          </w:p>
        </w:tc>
        <w:tc>
          <w:tcPr>
            <w:tcW w:w="993" w:type="dxa"/>
            <w:gridSpan w:val="2"/>
            <w:shd w:val="clear" w:color="auto" w:fill="auto"/>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w:t>
            </w:r>
            <w:r>
              <w:rPr>
                <w:rFonts w:ascii="Times New Roman" w:hAnsi="Times New Roman" w:eastAsia="宋体" w:cs="Times New Roman"/>
                <w:bCs/>
                <w:sz w:val="18"/>
                <w:szCs w:val="18"/>
              </w:rPr>
              <w:t>.16</w:t>
            </w:r>
          </w:p>
        </w:tc>
        <w:tc>
          <w:tcPr>
            <w:tcW w:w="109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w:t>
            </w:r>
            <w:r>
              <w:rPr>
                <w:rFonts w:ascii="Times New Roman" w:hAnsi="Times New Roman" w:eastAsia="宋体" w:cs="Times New Roman"/>
                <w:bCs/>
                <w:sz w:val="18"/>
                <w:szCs w:val="18"/>
              </w:rPr>
              <w:t>.141</w:t>
            </w:r>
          </w:p>
        </w:tc>
        <w:tc>
          <w:tcPr>
            <w:tcW w:w="1137" w:type="dxa"/>
            <w:shd w:val="clear" w:color="auto" w:fill="auto"/>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89"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w:t>
            </w:r>
            <w:r>
              <w:rPr>
                <w:rFonts w:ascii="Times New Roman" w:hAnsi="Times New Roman" w:eastAsia="宋体" w:cs="Times New Roman"/>
                <w:bCs/>
                <w:sz w:val="18"/>
                <w:szCs w:val="18"/>
              </w:rPr>
              <w:t>.00195</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27" w:type="dxa"/>
            <w:shd w:val="clear" w:color="auto" w:fill="auto"/>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24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02"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锌</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79"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5</w:t>
            </w:r>
          </w:p>
        </w:tc>
        <w:tc>
          <w:tcPr>
            <w:tcW w:w="1097"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5</w:t>
            </w:r>
          </w:p>
        </w:tc>
        <w:tc>
          <w:tcPr>
            <w:tcW w:w="993" w:type="dxa"/>
            <w:gridSpan w:val="2"/>
            <w:shd w:val="clear" w:color="auto" w:fill="auto"/>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w:t>
            </w:r>
            <w:r>
              <w:rPr>
                <w:rFonts w:ascii="Times New Roman" w:hAnsi="Times New Roman" w:eastAsia="宋体" w:cs="Times New Roman"/>
                <w:bCs/>
                <w:sz w:val="18"/>
                <w:szCs w:val="18"/>
              </w:rPr>
              <w:t>.12</w:t>
            </w:r>
          </w:p>
        </w:tc>
        <w:tc>
          <w:tcPr>
            <w:tcW w:w="109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w:t>
            </w:r>
            <w:r>
              <w:rPr>
                <w:rFonts w:ascii="Times New Roman" w:hAnsi="Times New Roman" w:eastAsia="宋体" w:cs="Times New Roman"/>
                <w:bCs/>
                <w:sz w:val="18"/>
                <w:szCs w:val="18"/>
              </w:rPr>
              <w:t>.112</w:t>
            </w:r>
          </w:p>
        </w:tc>
        <w:tc>
          <w:tcPr>
            <w:tcW w:w="1137" w:type="dxa"/>
            <w:shd w:val="clear" w:color="auto" w:fill="auto"/>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89"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0</w:t>
            </w:r>
            <w:r>
              <w:rPr>
                <w:rFonts w:ascii="Times New Roman" w:hAnsi="Times New Roman" w:eastAsia="宋体" w:cs="Times New Roman"/>
                <w:bCs/>
                <w:sz w:val="18"/>
                <w:szCs w:val="18"/>
              </w:rPr>
              <w:t>.0039</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27" w:type="dxa"/>
            <w:shd w:val="clear" w:color="auto" w:fill="auto"/>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24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02"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hint="eastAsia" w:ascii="Times New Roman" w:hAnsi="Times New Roman" w:eastAsia="宋体" w:cs="Times New Roman"/>
                <w:bCs/>
                <w:sz w:val="18"/>
                <w:szCs w:val="18"/>
              </w:rPr>
              <w:t>颗粒物</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79"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18</w:t>
            </w:r>
          </w:p>
        </w:tc>
        <w:tc>
          <w:tcPr>
            <w:tcW w:w="1097"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20</w:t>
            </w:r>
          </w:p>
        </w:tc>
        <w:tc>
          <w:tcPr>
            <w:tcW w:w="993"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29.4</w:t>
            </w:r>
          </w:p>
        </w:tc>
        <w:tc>
          <w:tcPr>
            <w:tcW w:w="1099"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29.12544</w:t>
            </w:r>
          </w:p>
        </w:tc>
        <w:tc>
          <w:tcPr>
            <w:tcW w:w="113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89"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0.43</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27"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244" w:type="dxa"/>
            <w:gridSpan w:val="3"/>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02"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1796"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工业固体废物</w:t>
            </w:r>
          </w:p>
        </w:tc>
        <w:tc>
          <w:tcPr>
            <w:tcW w:w="828"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79"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97"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993"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405.52</w:t>
            </w:r>
          </w:p>
        </w:tc>
        <w:tc>
          <w:tcPr>
            <w:tcW w:w="1099"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405.52</w:t>
            </w:r>
          </w:p>
        </w:tc>
        <w:tc>
          <w:tcPr>
            <w:tcW w:w="113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8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0</w:t>
            </w:r>
          </w:p>
        </w:tc>
        <w:tc>
          <w:tcPr>
            <w:tcW w:w="1593" w:type="dxa"/>
            <w:gridSpan w:val="2"/>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27"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244" w:type="dxa"/>
            <w:gridSpan w:val="3"/>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02" w:type="dxa"/>
            <w:tcMar>
              <w:left w:w="57" w:type="dxa"/>
              <w:right w:w="57" w:type="dxa"/>
            </w:tcMa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1099" w:type="dxa"/>
            <w:vMerge w:val="restart"/>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与项目有关的其他特征污染物</w:t>
            </w:r>
          </w:p>
        </w:tc>
        <w:tc>
          <w:tcPr>
            <w:tcW w:w="69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79"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9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9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9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3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8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2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24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02"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1099" w:type="dxa"/>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69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79"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9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9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9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3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8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2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24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02"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598" w:type="dxa"/>
            <w:gridSpan w:val="2"/>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1099" w:type="dxa"/>
            <w:vMerge w:val="continue"/>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p>
        </w:tc>
        <w:tc>
          <w:tcPr>
            <w:tcW w:w="69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28"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379"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9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9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9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3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189"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593" w:type="dxa"/>
            <w:gridSpan w:val="2"/>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27"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244" w:type="dxa"/>
            <w:gridSpan w:val="3"/>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894"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c>
          <w:tcPr>
            <w:tcW w:w="1002" w:type="dxa"/>
            <w:tcMar>
              <w:left w:w="57" w:type="dxa"/>
              <w:right w:w="57" w:type="dxa"/>
            </w:tcMar>
            <w:vAlign w:val="center"/>
          </w:tcPr>
          <w:p>
            <w:pPr>
              <w:widowControl/>
              <w:adjustRightInd w:val="0"/>
              <w:snapToGrid w:val="0"/>
              <w:jc w:val="center"/>
              <w:rPr>
                <w:rFonts w:ascii="Times New Roman" w:hAnsi="Times New Roman" w:eastAsia="宋体" w:cs="Times New Roman"/>
                <w:bCs/>
                <w:sz w:val="18"/>
                <w:szCs w:val="18"/>
              </w:rPr>
            </w:pPr>
            <w:r>
              <w:rPr>
                <w:rFonts w:ascii="Times New Roman" w:hAnsi="Times New Roman" w:eastAsia="宋体" w:cs="Times New Roman"/>
                <w:bCs/>
                <w:sz w:val="18"/>
                <w:szCs w:val="18"/>
              </w:rPr>
              <w:t>/</w:t>
            </w:r>
          </w:p>
        </w:tc>
      </w:tr>
    </w:tbl>
    <w:p>
      <w:pPr>
        <w:widowControl/>
        <w:adjustRightInd w:val="0"/>
        <w:snapToGrid w:val="0"/>
        <w:jc w:val="left"/>
        <w:rPr>
          <w:rFonts w:ascii="Times New Roman" w:hAnsi="Times New Roman" w:eastAsia="宋体" w:cs="Times New Roman"/>
          <w:bCs/>
          <w:kern w:val="0"/>
          <w:sz w:val="15"/>
          <w:szCs w:val="15"/>
        </w:rPr>
      </w:pPr>
      <w:r>
        <w:rPr>
          <w:rFonts w:ascii="Times New Roman" w:hAnsi="Times New Roman" w:eastAsia="宋体" w:cs="Times New Roman"/>
          <w:bCs/>
          <w:kern w:val="0"/>
          <w:sz w:val="15"/>
          <w:szCs w:val="15"/>
        </w:rPr>
        <w:t>注：1、排放增减量：（+）表示增加，（-）表示减少。2、（12）=（6）-（8）-（11），（9）=（4）-（5）-（8）-（11）+（1）。3、计量单位：废水排放量——万吨／年；废气排放量——万标立方米</w:t>
      </w:r>
    </w:p>
    <w:p>
      <w:pPr>
        <w:widowControl/>
        <w:adjustRightInd w:val="0"/>
        <w:snapToGrid w:val="0"/>
        <w:jc w:val="left"/>
        <w:rPr>
          <w:rFonts w:ascii="Times New Roman" w:hAnsi="Times New Roman" w:eastAsia="宋体" w:cs="Times New Roman"/>
          <w:bCs/>
          <w:kern w:val="0"/>
          <w:sz w:val="15"/>
          <w:szCs w:val="15"/>
        </w:rPr>
      </w:pPr>
      <w:r>
        <w:rPr>
          <w:rFonts w:ascii="Times New Roman" w:hAnsi="Times New Roman" w:eastAsia="宋体" w:cs="Times New Roman"/>
          <w:bCs/>
          <w:kern w:val="0"/>
          <w:sz w:val="15"/>
          <w:szCs w:val="15"/>
        </w:rPr>
        <w:t>／年；工业固体废物排放量——万吨／年；水污染物排放浓度——毫克／升；大气污染物排放浓度——毫克／立方米；水污染物排放量——吨／年；大气污染物排放量——吨／年。</w:t>
      </w:r>
    </w:p>
    <w:p>
      <w:pPr>
        <w:rPr>
          <w:rFonts w:ascii="Times New Roman" w:hAnsi="Times New Roman" w:eastAsia="宋体" w:cs="Times New Roman"/>
          <w:color w:val="000000" w:themeColor="text1"/>
          <w:sz w:val="28"/>
          <w:szCs w:val="28"/>
          <w14:textFill>
            <w14:solidFill>
              <w14:schemeClr w14:val="tx1"/>
            </w14:solidFill>
          </w14:textFill>
        </w:rPr>
      </w:pPr>
    </w:p>
    <w:p>
      <w:pPr>
        <w:rPr>
          <w:rFonts w:ascii="Times New Roman" w:hAnsi="Times New Roman" w:eastAsia="宋体" w:cs="Times New Roman"/>
          <w:color w:val="000000" w:themeColor="text1"/>
          <w:sz w:val="28"/>
          <w:szCs w:val="28"/>
          <w14:textFill>
            <w14:solidFill>
              <w14:schemeClr w14:val="tx1"/>
            </w14:solidFill>
          </w14:textFill>
        </w:rPr>
      </w:pPr>
    </w:p>
    <w:sectPr>
      <w:pgSz w:w="16838" w:h="11906" w:orient="landscape"/>
      <w:pgMar w:top="1417" w:right="1440" w:bottom="1417"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等线"/>
    <w:panose1 w:val="00000000000000000000"/>
    <w:charset w:val="00"/>
    <w:family w:val="roman"/>
    <w:pitch w:val="default"/>
    <w:sig w:usb0="00000000" w:usb1="00000000" w:usb2="00000010" w:usb3="00000000" w:csb0="00020001"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6473605"/>
    </w:sdtPr>
    <w:sdtEndPr>
      <w:rPr>
        <w:rFonts w:ascii="Times New Roman" w:hAnsi="Times New Roman" w:cs="Times New Roman"/>
        <w:sz w:val="21"/>
        <w:szCs w:val="21"/>
      </w:rPr>
    </w:sdtEndPr>
    <w:sdtContent>
      <w:p>
        <w:pPr>
          <w:pStyle w:val="11"/>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19</w:t>
        </w:r>
        <w:r>
          <w:rPr>
            <w:rFonts w:ascii="Times New Roman" w:hAnsi="Times New Roman" w:cs="Times New Roman"/>
            <w:sz w:val="21"/>
            <w:szCs w:val="21"/>
          </w:rPr>
          <w:fldChar w:fldCharType="end"/>
        </w:r>
      </w:p>
    </w:sdtContent>
  </w:sdt>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华文新魏" w:eastAsia="华文新魏"/>
        <w:sz w:val="21"/>
        <w:szCs w:val="21"/>
      </w:rPr>
    </w:pPr>
    <w:r>
      <w:rPr>
        <w:rFonts w:hint="eastAsia" w:ascii="华文新魏" w:eastAsia="华文新魏"/>
        <w:sz w:val="21"/>
        <w:szCs w:val="21"/>
      </w:rPr>
      <w:t>江苏乐开机电有限公司冷锻产品和模具加工建设项目竣工环境保护验收监测报告表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RlMjQyYjExZmQxYTJiNmM4NGMxY2E3NjMyYjQ1YWQifQ=="/>
  </w:docVars>
  <w:rsids>
    <w:rsidRoot w:val="00483CDD"/>
    <w:rsid w:val="00002EB7"/>
    <w:rsid w:val="00003DDB"/>
    <w:rsid w:val="00015051"/>
    <w:rsid w:val="00020A15"/>
    <w:rsid w:val="00020A81"/>
    <w:rsid w:val="000253A2"/>
    <w:rsid w:val="00025A70"/>
    <w:rsid w:val="00027AF3"/>
    <w:rsid w:val="00030C80"/>
    <w:rsid w:val="00031AB8"/>
    <w:rsid w:val="000322F2"/>
    <w:rsid w:val="0003256A"/>
    <w:rsid w:val="0003299A"/>
    <w:rsid w:val="00035966"/>
    <w:rsid w:val="0003603B"/>
    <w:rsid w:val="00040DE7"/>
    <w:rsid w:val="0005171E"/>
    <w:rsid w:val="00055280"/>
    <w:rsid w:val="000607E5"/>
    <w:rsid w:val="000677A7"/>
    <w:rsid w:val="00067C17"/>
    <w:rsid w:val="00071700"/>
    <w:rsid w:val="00080B42"/>
    <w:rsid w:val="000848CC"/>
    <w:rsid w:val="0008652C"/>
    <w:rsid w:val="00086A3B"/>
    <w:rsid w:val="000871BA"/>
    <w:rsid w:val="00087300"/>
    <w:rsid w:val="00095BD7"/>
    <w:rsid w:val="00096694"/>
    <w:rsid w:val="000B515D"/>
    <w:rsid w:val="000C4ACC"/>
    <w:rsid w:val="000C5257"/>
    <w:rsid w:val="000D65A9"/>
    <w:rsid w:val="000E0BE6"/>
    <w:rsid w:val="000E17E3"/>
    <w:rsid w:val="000E1F3C"/>
    <w:rsid w:val="000E252A"/>
    <w:rsid w:val="000E4A7D"/>
    <w:rsid w:val="000E612B"/>
    <w:rsid w:val="000E7CD9"/>
    <w:rsid w:val="000F129C"/>
    <w:rsid w:val="000F509F"/>
    <w:rsid w:val="00100105"/>
    <w:rsid w:val="0010775F"/>
    <w:rsid w:val="00110D8B"/>
    <w:rsid w:val="001127AE"/>
    <w:rsid w:val="0011486B"/>
    <w:rsid w:val="00116D33"/>
    <w:rsid w:val="00117EF4"/>
    <w:rsid w:val="00125287"/>
    <w:rsid w:val="0013089E"/>
    <w:rsid w:val="00133848"/>
    <w:rsid w:val="00133C02"/>
    <w:rsid w:val="0013512B"/>
    <w:rsid w:val="00145FFC"/>
    <w:rsid w:val="00146AD4"/>
    <w:rsid w:val="00161356"/>
    <w:rsid w:val="00161B8C"/>
    <w:rsid w:val="00171017"/>
    <w:rsid w:val="00172616"/>
    <w:rsid w:val="001733FD"/>
    <w:rsid w:val="00174F77"/>
    <w:rsid w:val="00177525"/>
    <w:rsid w:val="00186730"/>
    <w:rsid w:val="00187B0B"/>
    <w:rsid w:val="001935BA"/>
    <w:rsid w:val="00194166"/>
    <w:rsid w:val="00196376"/>
    <w:rsid w:val="001B04E9"/>
    <w:rsid w:val="001B06FC"/>
    <w:rsid w:val="001B122B"/>
    <w:rsid w:val="001C0390"/>
    <w:rsid w:val="001C350A"/>
    <w:rsid w:val="001D1E58"/>
    <w:rsid w:val="001D1E8B"/>
    <w:rsid w:val="001D3B39"/>
    <w:rsid w:val="001D47A1"/>
    <w:rsid w:val="001D6B9D"/>
    <w:rsid w:val="001F241B"/>
    <w:rsid w:val="001F295C"/>
    <w:rsid w:val="001F4121"/>
    <w:rsid w:val="001F6075"/>
    <w:rsid w:val="001F60B4"/>
    <w:rsid w:val="00200BAD"/>
    <w:rsid w:val="00202C57"/>
    <w:rsid w:val="00203CF3"/>
    <w:rsid w:val="00207FEE"/>
    <w:rsid w:val="00220623"/>
    <w:rsid w:val="00240356"/>
    <w:rsid w:val="00242FA7"/>
    <w:rsid w:val="00245CC7"/>
    <w:rsid w:val="00246E5F"/>
    <w:rsid w:val="00246F8C"/>
    <w:rsid w:val="002476DF"/>
    <w:rsid w:val="002530D8"/>
    <w:rsid w:val="00253782"/>
    <w:rsid w:val="00254537"/>
    <w:rsid w:val="002601AD"/>
    <w:rsid w:val="0026462A"/>
    <w:rsid w:val="00264A5E"/>
    <w:rsid w:val="002669AB"/>
    <w:rsid w:val="00274246"/>
    <w:rsid w:val="002761E1"/>
    <w:rsid w:val="002817FA"/>
    <w:rsid w:val="002831CA"/>
    <w:rsid w:val="00290A21"/>
    <w:rsid w:val="00294AED"/>
    <w:rsid w:val="002A1830"/>
    <w:rsid w:val="002A2159"/>
    <w:rsid w:val="002A25D0"/>
    <w:rsid w:val="002B06CC"/>
    <w:rsid w:val="002B24F2"/>
    <w:rsid w:val="002B5B48"/>
    <w:rsid w:val="002B7B9D"/>
    <w:rsid w:val="002C008D"/>
    <w:rsid w:val="002C346D"/>
    <w:rsid w:val="002C3EF3"/>
    <w:rsid w:val="002C4DC1"/>
    <w:rsid w:val="002C58A4"/>
    <w:rsid w:val="002C7CC6"/>
    <w:rsid w:val="002D0481"/>
    <w:rsid w:val="002D17FA"/>
    <w:rsid w:val="002D67B5"/>
    <w:rsid w:val="002D725A"/>
    <w:rsid w:val="002D7539"/>
    <w:rsid w:val="002E105D"/>
    <w:rsid w:val="002E5F11"/>
    <w:rsid w:val="002E60BE"/>
    <w:rsid w:val="002F15C5"/>
    <w:rsid w:val="002F47E4"/>
    <w:rsid w:val="0030363F"/>
    <w:rsid w:val="0030558C"/>
    <w:rsid w:val="00307B26"/>
    <w:rsid w:val="00312FDE"/>
    <w:rsid w:val="0031391D"/>
    <w:rsid w:val="00315F10"/>
    <w:rsid w:val="00324361"/>
    <w:rsid w:val="0032551D"/>
    <w:rsid w:val="0033240E"/>
    <w:rsid w:val="00333195"/>
    <w:rsid w:val="00340A51"/>
    <w:rsid w:val="0034443F"/>
    <w:rsid w:val="003454C6"/>
    <w:rsid w:val="003464D6"/>
    <w:rsid w:val="003502E7"/>
    <w:rsid w:val="00350AD0"/>
    <w:rsid w:val="00361874"/>
    <w:rsid w:val="003643A0"/>
    <w:rsid w:val="00377767"/>
    <w:rsid w:val="003805B7"/>
    <w:rsid w:val="00380DDD"/>
    <w:rsid w:val="00381C18"/>
    <w:rsid w:val="00381F91"/>
    <w:rsid w:val="00385DDF"/>
    <w:rsid w:val="00387954"/>
    <w:rsid w:val="00391E4B"/>
    <w:rsid w:val="003A0F9B"/>
    <w:rsid w:val="003A756C"/>
    <w:rsid w:val="003B10BC"/>
    <w:rsid w:val="003B45B5"/>
    <w:rsid w:val="003C1066"/>
    <w:rsid w:val="003C189C"/>
    <w:rsid w:val="003C2207"/>
    <w:rsid w:val="003C6E5F"/>
    <w:rsid w:val="003D0810"/>
    <w:rsid w:val="003D1BF3"/>
    <w:rsid w:val="003D1F57"/>
    <w:rsid w:val="003D31A0"/>
    <w:rsid w:val="003D45F4"/>
    <w:rsid w:val="003D5881"/>
    <w:rsid w:val="003D5C82"/>
    <w:rsid w:val="003D641F"/>
    <w:rsid w:val="003E14F8"/>
    <w:rsid w:val="003E3FE3"/>
    <w:rsid w:val="003F147C"/>
    <w:rsid w:val="003F1665"/>
    <w:rsid w:val="003F242B"/>
    <w:rsid w:val="003F2DFF"/>
    <w:rsid w:val="003F60ED"/>
    <w:rsid w:val="003F7DFF"/>
    <w:rsid w:val="004042E6"/>
    <w:rsid w:val="00412384"/>
    <w:rsid w:val="004152C0"/>
    <w:rsid w:val="00415BF0"/>
    <w:rsid w:val="00421632"/>
    <w:rsid w:val="00423C33"/>
    <w:rsid w:val="00424F39"/>
    <w:rsid w:val="00425EC4"/>
    <w:rsid w:val="00430542"/>
    <w:rsid w:val="00431A9A"/>
    <w:rsid w:val="00433C96"/>
    <w:rsid w:val="00436F85"/>
    <w:rsid w:val="00437E6F"/>
    <w:rsid w:val="00440B99"/>
    <w:rsid w:val="0044120F"/>
    <w:rsid w:val="00446825"/>
    <w:rsid w:val="004530FD"/>
    <w:rsid w:val="004531D0"/>
    <w:rsid w:val="00454EDB"/>
    <w:rsid w:val="0045522F"/>
    <w:rsid w:val="00460AAF"/>
    <w:rsid w:val="004629BE"/>
    <w:rsid w:val="00463ABD"/>
    <w:rsid w:val="00465A82"/>
    <w:rsid w:val="0046701D"/>
    <w:rsid w:val="004707BB"/>
    <w:rsid w:val="004734D8"/>
    <w:rsid w:val="00475E95"/>
    <w:rsid w:val="004803C4"/>
    <w:rsid w:val="00482F5A"/>
    <w:rsid w:val="004835A2"/>
    <w:rsid w:val="00483729"/>
    <w:rsid w:val="00483CDD"/>
    <w:rsid w:val="00485523"/>
    <w:rsid w:val="00487102"/>
    <w:rsid w:val="00491EEF"/>
    <w:rsid w:val="00492657"/>
    <w:rsid w:val="00496CAB"/>
    <w:rsid w:val="004A3092"/>
    <w:rsid w:val="004A77E0"/>
    <w:rsid w:val="004B2C6E"/>
    <w:rsid w:val="004B37B1"/>
    <w:rsid w:val="004C4EA7"/>
    <w:rsid w:val="004D2AFA"/>
    <w:rsid w:val="004E1065"/>
    <w:rsid w:val="004E2BFD"/>
    <w:rsid w:val="004E6BFE"/>
    <w:rsid w:val="004E6C2F"/>
    <w:rsid w:val="004E7349"/>
    <w:rsid w:val="004E7BA2"/>
    <w:rsid w:val="004F5522"/>
    <w:rsid w:val="004F6251"/>
    <w:rsid w:val="005010D6"/>
    <w:rsid w:val="00503F6B"/>
    <w:rsid w:val="00504457"/>
    <w:rsid w:val="00505493"/>
    <w:rsid w:val="00510D77"/>
    <w:rsid w:val="00522C55"/>
    <w:rsid w:val="005250B6"/>
    <w:rsid w:val="0053072F"/>
    <w:rsid w:val="00530AF1"/>
    <w:rsid w:val="00533AE8"/>
    <w:rsid w:val="005428E2"/>
    <w:rsid w:val="00545BAF"/>
    <w:rsid w:val="005528F1"/>
    <w:rsid w:val="00552C5C"/>
    <w:rsid w:val="00553EA4"/>
    <w:rsid w:val="0055401D"/>
    <w:rsid w:val="00566DF8"/>
    <w:rsid w:val="005674F9"/>
    <w:rsid w:val="00572742"/>
    <w:rsid w:val="00574872"/>
    <w:rsid w:val="00580443"/>
    <w:rsid w:val="0058065D"/>
    <w:rsid w:val="00581B58"/>
    <w:rsid w:val="00582196"/>
    <w:rsid w:val="0059018D"/>
    <w:rsid w:val="00592A54"/>
    <w:rsid w:val="00596D5E"/>
    <w:rsid w:val="005977EA"/>
    <w:rsid w:val="005A3700"/>
    <w:rsid w:val="005A5675"/>
    <w:rsid w:val="005A5847"/>
    <w:rsid w:val="005A58AE"/>
    <w:rsid w:val="005B3A2F"/>
    <w:rsid w:val="005B3B30"/>
    <w:rsid w:val="005B5D80"/>
    <w:rsid w:val="005B6190"/>
    <w:rsid w:val="005C07F0"/>
    <w:rsid w:val="005C46D1"/>
    <w:rsid w:val="005D5985"/>
    <w:rsid w:val="005D6A92"/>
    <w:rsid w:val="005D74AC"/>
    <w:rsid w:val="005E077F"/>
    <w:rsid w:val="005E089A"/>
    <w:rsid w:val="005E22E1"/>
    <w:rsid w:val="005E5AE7"/>
    <w:rsid w:val="005E6174"/>
    <w:rsid w:val="005E62E5"/>
    <w:rsid w:val="005E69C9"/>
    <w:rsid w:val="005E69ED"/>
    <w:rsid w:val="005F1564"/>
    <w:rsid w:val="005F24B7"/>
    <w:rsid w:val="005F2AEB"/>
    <w:rsid w:val="00606BB8"/>
    <w:rsid w:val="00606DC0"/>
    <w:rsid w:val="00607488"/>
    <w:rsid w:val="00607D9A"/>
    <w:rsid w:val="00621A60"/>
    <w:rsid w:val="00623034"/>
    <w:rsid w:val="00624F4E"/>
    <w:rsid w:val="00631C87"/>
    <w:rsid w:val="00636AF2"/>
    <w:rsid w:val="0064049A"/>
    <w:rsid w:val="00642D7E"/>
    <w:rsid w:val="00651324"/>
    <w:rsid w:val="00657771"/>
    <w:rsid w:val="00662075"/>
    <w:rsid w:val="006627E3"/>
    <w:rsid w:val="006712D6"/>
    <w:rsid w:val="00671A12"/>
    <w:rsid w:val="00674A0E"/>
    <w:rsid w:val="00677867"/>
    <w:rsid w:val="0068028C"/>
    <w:rsid w:val="0068071E"/>
    <w:rsid w:val="00680A28"/>
    <w:rsid w:val="006823F9"/>
    <w:rsid w:val="006846D5"/>
    <w:rsid w:val="006855EA"/>
    <w:rsid w:val="006927AF"/>
    <w:rsid w:val="00693576"/>
    <w:rsid w:val="00696122"/>
    <w:rsid w:val="006979EF"/>
    <w:rsid w:val="006A0404"/>
    <w:rsid w:val="006A2798"/>
    <w:rsid w:val="006A2C23"/>
    <w:rsid w:val="006A3543"/>
    <w:rsid w:val="006A4F40"/>
    <w:rsid w:val="006B16EB"/>
    <w:rsid w:val="006B46B1"/>
    <w:rsid w:val="006B532B"/>
    <w:rsid w:val="006B6F2D"/>
    <w:rsid w:val="006C03DF"/>
    <w:rsid w:val="006C3E9F"/>
    <w:rsid w:val="006D25D2"/>
    <w:rsid w:val="006D6AB7"/>
    <w:rsid w:val="006D785A"/>
    <w:rsid w:val="006E053C"/>
    <w:rsid w:val="006E2FF0"/>
    <w:rsid w:val="006E31F5"/>
    <w:rsid w:val="006E475B"/>
    <w:rsid w:val="006E4BA2"/>
    <w:rsid w:val="006E7D0B"/>
    <w:rsid w:val="006F1075"/>
    <w:rsid w:val="006F306D"/>
    <w:rsid w:val="006F570C"/>
    <w:rsid w:val="006F639C"/>
    <w:rsid w:val="00704E24"/>
    <w:rsid w:val="00707E1B"/>
    <w:rsid w:val="00711011"/>
    <w:rsid w:val="007117F3"/>
    <w:rsid w:val="00712E96"/>
    <w:rsid w:val="00713050"/>
    <w:rsid w:val="00713804"/>
    <w:rsid w:val="007213A1"/>
    <w:rsid w:val="007235DA"/>
    <w:rsid w:val="007235DE"/>
    <w:rsid w:val="00733628"/>
    <w:rsid w:val="00733D5E"/>
    <w:rsid w:val="007345CE"/>
    <w:rsid w:val="00743C88"/>
    <w:rsid w:val="00746F5A"/>
    <w:rsid w:val="007479AE"/>
    <w:rsid w:val="00755E91"/>
    <w:rsid w:val="00755FB5"/>
    <w:rsid w:val="00757D9A"/>
    <w:rsid w:val="007624C4"/>
    <w:rsid w:val="00764F52"/>
    <w:rsid w:val="0076704E"/>
    <w:rsid w:val="007746B1"/>
    <w:rsid w:val="00781476"/>
    <w:rsid w:val="0078305C"/>
    <w:rsid w:val="00784301"/>
    <w:rsid w:val="00786768"/>
    <w:rsid w:val="0079034C"/>
    <w:rsid w:val="00790BE1"/>
    <w:rsid w:val="007951BC"/>
    <w:rsid w:val="007952CC"/>
    <w:rsid w:val="007B0B78"/>
    <w:rsid w:val="007D2D06"/>
    <w:rsid w:val="007E0B9F"/>
    <w:rsid w:val="007E11C3"/>
    <w:rsid w:val="007E168E"/>
    <w:rsid w:val="007E3EEA"/>
    <w:rsid w:val="007E7C3D"/>
    <w:rsid w:val="007F0A96"/>
    <w:rsid w:val="007F38B0"/>
    <w:rsid w:val="007F4564"/>
    <w:rsid w:val="007F5410"/>
    <w:rsid w:val="007F664B"/>
    <w:rsid w:val="0080153A"/>
    <w:rsid w:val="00801540"/>
    <w:rsid w:val="00802799"/>
    <w:rsid w:val="008033AE"/>
    <w:rsid w:val="008063EF"/>
    <w:rsid w:val="00806FBE"/>
    <w:rsid w:val="00810758"/>
    <w:rsid w:val="00815282"/>
    <w:rsid w:val="00815393"/>
    <w:rsid w:val="008158AE"/>
    <w:rsid w:val="00816734"/>
    <w:rsid w:val="00820CAD"/>
    <w:rsid w:val="00825AB9"/>
    <w:rsid w:val="00827973"/>
    <w:rsid w:val="0083176B"/>
    <w:rsid w:val="00834131"/>
    <w:rsid w:val="00834325"/>
    <w:rsid w:val="008501E7"/>
    <w:rsid w:val="0085147F"/>
    <w:rsid w:val="00851FDA"/>
    <w:rsid w:val="00853A16"/>
    <w:rsid w:val="0085511C"/>
    <w:rsid w:val="008553E9"/>
    <w:rsid w:val="0085601A"/>
    <w:rsid w:val="008619ED"/>
    <w:rsid w:val="008719A4"/>
    <w:rsid w:val="00876D26"/>
    <w:rsid w:val="0088239B"/>
    <w:rsid w:val="00885EB3"/>
    <w:rsid w:val="00885F73"/>
    <w:rsid w:val="00887307"/>
    <w:rsid w:val="00887A27"/>
    <w:rsid w:val="00890868"/>
    <w:rsid w:val="00890EBF"/>
    <w:rsid w:val="00891716"/>
    <w:rsid w:val="00891BC2"/>
    <w:rsid w:val="00892614"/>
    <w:rsid w:val="008947DB"/>
    <w:rsid w:val="0089489B"/>
    <w:rsid w:val="00895952"/>
    <w:rsid w:val="008A1439"/>
    <w:rsid w:val="008A65C6"/>
    <w:rsid w:val="008A7FF5"/>
    <w:rsid w:val="008B148E"/>
    <w:rsid w:val="008B533F"/>
    <w:rsid w:val="008B7119"/>
    <w:rsid w:val="008C03E3"/>
    <w:rsid w:val="008C1599"/>
    <w:rsid w:val="008C7513"/>
    <w:rsid w:val="008D3F21"/>
    <w:rsid w:val="008D4E9F"/>
    <w:rsid w:val="008E4970"/>
    <w:rsid w:val="008E64B2"/>
    <w:rsid w:val="008F1C05"/>
    <w:rsid w:val="008F59E7"/>
    <w:rsid w:val="009001E5"/>
    <w:rsid w:val="00910C20"/>
    <w:rsid w:val="00920879"/>
    <w:rsid w:val="00924296"/>
    <w:rsid w:val="009247BB"/>
    <w:rsid w:val="00925161"/>
    <w:rsid w:val="00934EEE"/>
    <w:rsid w:val="00943047"/>
    <w:rsid w:val="009526CF"/>
    <w:rsid w:val="00956134"/>
    <w:rsid w:val="00956F30"/>
    <w:rsid w:val="00960803"/>
    <w:rsid w:val="00961002"/>
    <w:rsid w:val="00961A90"/>
    <w:rsid w:val="009641B0"/>
    <w:rsid w:val="009659AF"/>
    <w:rsid w:val="00966B61"/>
    <w:rsid w:val="00972476"/>
    <w:rsid w:val="00972B0E"/>
    <w:rsid w:val="0097421A"/>
    <w:rsid w:val="00975718"/>
    <w:rsid w:val="009868FE"/>
    <w:rsid w:val="009969E4"/>
    <w:rsid w:val="009977B2"/>
    <w:rsid w:val="00997DEA"/>
    <w:rsid w:val="009A0BBC"/>
    <w:rsid w:val="009B1817"/>
    <w:rsid w:val="009B1FFE"/>
    <w:rsid w:val="009B4736"/>
    <w:rsid w:val="009B6CA9"/>
    <w:rsid w:val="009B79BA"/>
    <w:rsid w:val="009C45AD"/>
    <w:rsid w:val="009D3D37"/>
    <w:rsid w:val="009D7C1A"/>
    <w:rsid w:val="009E71E6"/>
    <w:rsid w:val="009E7ED2"/>
    <w:rsid w:val="009F2C6B"/>
    <w:rsid w:val="009F2C82"/>
    <w:rsid w:val="009F49ED"/>
    <w:rsid w:val="009F6A45"/>
    <w:rsid w:val="00A02D0F"/>
    <w:rsid w:val="00A1233E"/>
    <w:rsid w:val="00A1595A"/>
    <w:rsid w:val="00A21520"/>
    <w:rsid w:val="00A2173A"/>
    <w:rsid w:val="00A22033"/>
    <w:rsid w:val="00A23D11"/>
    <w:rsid w:val="00A25920"/>
    <w:rsid w:val="00A3180C"/>
    <w:rsid w:val="00A366D3"/>
    <w:rsid w:val="00A36F0D"/>
    <w:rsid w:val="00A43628"/>
    <w:rsid w:val="00A4458D"/>
    <w:rsid w:val="00A46025"/>
    <w:rsid w:val="00A5398C"/>
    <w:rsid w:val="00A56031"/>
    <w:rsid w:val="00A6066C"/>
    <w:rsid w:val="00A63071"/>
    <w:rsid w:val="00A65EE3"/>
    <w:rsid w:val="00A668B4"/>
    <w:rsid w:val="00A73CC8"/>
    <w:rsid w:val="00A754D7"/>
    <w:rsid w:val="00A75E59"/>
    <w:rsid w:val="00A77836"/>
    <w:rsid w:val="00A80A1D"/>
    <w:rsid w:val="00A81719"/>
    <w:rsid w:val="00A8391B"/>
    <w:rsid w:val="00A86A8D"/>
    <w:rsid w:val="00A94159"/>
    <w:rsid w:val="00A9451D"/>
    <w:rsid w:val="00A97838"/>
    <w:rsid w:val="00AA0851"/>
    <w:rsid w:val="00AA58A5"/>
    <w:rsid w:val="00AB15C0"/>
    <w:rsid w:val="00AB1BE9"/>
    <w:rsid w:val="00AB3D71"/>
    <w:rsid w:val="00AB5E5F"/>
    <w:rsid w:val="00AB77D3"/>
    <w:rsid w:val="00AC457F"/>
    <w:rsid w:val="00AC5D49"/>
    <w:rsid w:val="00AC6561"/>
    <w:rsid w:val="00AD39AF"/>
    <w:rsid w:val="00AD58F8"/>
    <w:rsid w:val="00AD6249"/>
    <w:rsid w:val="00AE551D"/>
    <w:rsid w:val="00AE60C1"/>
    <w:rsid w:val="00AF7FC6"/>
    <w:rsid w:val="00B00112"/>
    <w:rsid w:val="00B00C3A"/>
    <w:rsid w:val="00B06F80"/>
    <w:rsid w:val="00B07841"/>
    <w:rsid w:val="00B115D4"/>
    <w:rsid w:val="00B141C0"/>
    <w:rsid w:val="00B15FC8"/>
    <w:rsid w:val="00B222B4"/>
    <w:rsid w:val="00B22724"/>
    <w:rsid w:val="00B249E8"/>
    <w:rsid w:val="00B32FA9"/>
    <w:rsid w:val="00B33043"/>
    <w:rsid w:val="00B333B1"/>
    <w:rsid w:val="00B3506A"/>
    <w:rsid w:val="00B36ACE"/>
    <w:rsid w:val="00B36D72"/>
    <w:rsid w:val="00B507DC"/>
    <w:rsid w:val="00B54DB8"/>
    <w:rsid w:val="00B556DC"/>
    <w:rsid w:val="00B56DD0"/>
    <w:rsid w:val="00B63AC1"/>
    <w:rsid w:val="00B76816"/>
    <w:rsid w:val="00B82FAB"/>
    <w:rsid w:val="00B850B7"/>
    <w:rsid w:val="00B86A8A"/>
    <w:rsid w:val="00B90954"/>
    <w:rsid w:val="00B91B11"/>
    <w:rsid w:val="00B920B0"/>
    <w:rsid w:val="00B92843"/>
    <w:rsid w:val="00B9370D"/>
    <w:rsid w:val="00B974AD"/>
    <w:rsid w:val="00B97B06"/>
    <w:rsid w:val="00BA0F39"/>
    <w:rsid w:val="00BA40D7"/>
    <w:rsid w:val="00BA4FE9"/>
    <w:rsid w:val="00BA6CAB"/>
    <w:rsid w:val="00BB0C5A"/>
    <w:rsid w:val="00BC0C84"/>
    <w:rsid w:val="00BC280C"/>
    <w:rsid w:val="00BC2DA1"/>
    <w:rsid w:val="00BC5BF5"/>
    <w:rsid w:val="00BD0D3F"/>
    <w:rsid w:val="00BD34A4"/>
    <w:rsid w:val="00BD6DC1"/>
    <w:rsid w:val="00BD6FE5"/>
    <w:rsid w:val="00BE1073"/>
    <w:rsid w:val="00BE611F"/>
    <w:rsid w:val="00BE651E"/>
    <w:rsid w:val="00BF73FD"/>
    <w:rsid w:val="00C017B6"/>
    <w:rsid w:val="00C04C53"/>
    <w:rsid w:val="00C04EE7"/>
    <w:rsid w:val="00C1055F"/>
    <w:rsid w:val="00C1147A"/>
    <w:rsid w:val="00C11C34"/>
    <w:rsid w:val="00C11E4C"/>
    <w:rsid w:val="00C13F12"/>
    <w:rsid w:val="00C169DD"/>
    <w:rsid w:val="00C16AA7"/>
    <w:rsid w:val="00C20A4F"/>
    <w:rsid w:val="00C31032"/>
    <w:rsid w:val="00C37DA6"/>
    <w:rsid w:val="00C402AD"/>
    <w:rsid w:val="00C40A07"/>
    <w:rsid w:val="00C41121"/>
    <w:rsid w:val="00C42AA2"/>
    <w:rsid w:val="00C42EAE"/>
    <w:rsid w:val="00C43A5A"/>
    <w:rsid w:val="00C43D2B"/>
    <w:rsid w:val="00C5395D"/>
    <w:rsid w:val="00C55E35"/>
    <w:rsid w:val="00C60AFD"/>
    <w:rsid w:val="00C67B21"/>
    <w:rsid w:val="00C702F7"/>
    <w:rsid w:val="00C70BB5"/>
    <w:rsid w:val="00C70D64"/>
    <w:rsid w:val="00C720BB"/>
    <w:rsid w:val="00C72109"/>
    <w:rsid w:val="00C75520"/>
    <w:rsid w:val="00C75AE5"/>
    <w:rsid w:val="00C80EE5"/>
    <w:rsid w:val="00C842AC"/>
    <w:rsid w:val="00C876EF"/>
    <w:rsid w:val="00C87D03"/>
    <w:rsid w:val="00C93565"/>
    <w:rsid w:val="00C93653"/>
    <w:rsid w:val="00C944B9"/>
    <w:rsid w:val="00C95A1B"/>
    <w:rsid w:val="00C9715C"/>
    <w:rsid w:val="00CA4436"/>
    <w:rsid w:val="00CA7EDF"/>
    <w:rsid w:val="00CB177C"/>
    <w:rsid w:val="00CB79FD"/>
    <w:rsid w:val="00CC333F"/>
    <w:rsid w:val="00CC5C02"/>
    <w:rsid w:val="00CC6556"/>
    <w:rsid w:val="00CD116A"/>
    <w:rsid w:val="00CD2DA4"/>
    <w:rsid w:val="00CD4B90"/>
    <w:rsid w:val="00CD4CCB"/>
    <w:rsid w:val="00CE3D5E"/>
    <w:rsid w:val="00CE44D6"/>
    <w:rsid w:val="00CE7BB2"/>
    <w:rsid w:val="00CF0FAF"/>
    <w:rsid w:val="00CF3284"/>
    <w:rsid w:val="00CF5288"/>
    <w:rsid w:val="00CF5740"/>
    <w:rsid w:val="00D013D4"/>
    <w:rsid w:val="00D01BE6"/>
    <w:rsid w:val="00D0292D"/>
    <w:rsid w:val="00D02DF3"/>
    <w:rsid w:val="00D032E8"/>
    <w:rsid w:val="00D03859"/>
    <w:rsid w:val="00D045B5"/>
    <w:rsid w:val="00D0470F"/>
    <w:rsid w:val="00D10E55"/>
    <w:rsid w:val="00D12008"/>
    <w:rsid w:val="00D121CA"/>
    <w:rsid w:val="00D126CE"/>
    <w:rsid w:val="00D140D5"/>
    <w:rsid w:val="00D15590"/>
    <w:rsid w:val="00D224E8"/>
    <w:rsid w:val="00D22BAD"/>
    <w:rsid w:val="00D22E3A"/>
    <w:rsid w:val="00D2434A"/>
    <w:rsid w:val="00D3319D"/>
    <w:rsid w:val="00D36868"/>
    <w:rsid w:val="00D41937"/>
    <w:rsid w:val="00D419CF"/>
    <w:rsid w:val="00D5070F"/>
    <w:rsid w:val="00D50DF2"/>
    <w:rsid w:val="00D55D6F"/>
    <w:rsid w:val="00D57CBE"/>
    <w:rsid w:val="00D57FE7"/>
    <w:rsid w:val="00D60144"/>
    <w:rsid w:val="00D619E3"/>
    <w:rsid w:val="00D67A5E"/>
    <w:rsid w:val="00D81196"/>
    <w:rsid w:val="00D81360"/>
    <w:rsid w:val="00D82E99"/>
    <w:rsid w:val="00D83C11"/>
    <w:rsid w:val="00D90FB1"/>
    <w:rsid w:val="00D9128E"/>
    <w:rsid w:val="00D913F8"/>
    <w:rsid w:val="00D91857"/>
    <w:rsid w:val="00D93E95"/>
    <w:rsid w:val="00D971A0"/>
    <w:rsid w:val="00D97D40"/>
    <w:rsid w:val="00D97DAA"/>
    <w:rsid w:val="00DA2445"/>
    <w:rsid w:val="00DA457E"/>
    <w:rsid w:val="00DB45A6"/>
    <w:rsid w:val="00DB5DC4"/>
    <w:rsid w:val="00DB72D9"/>
    <w:rsid w:val="00DC08E7"/>
    <w:rsid w:val="00DD15D5"/>
    <w:rsid w:val="00DD65A4"/>
    <w:rsid w:val="00DE00E7"/>
    <w:rsid w:val="00DE46D6"/>
    <w:rsid w:val="00DE5E8A"/>
    <w:rsid w:val="00DE76B8"/>
    <w:rsid w:val="00E0112B"/>
    <w:rsid w:val="00E01A08"/>
    <w:rsid w:val="00E02236"/>
    <w:rsid w:val="00E07A94"/>
    <w:rsid w:val="00E11C7E"/>
    <w:rsid w:val="00E17389"/>
    <w:rsid w:val="00E176A0"/>
    <w:rsid w:val="00E17DC4"/>
    <w:rsid w:val="00E17EBF"/>
    <w:rsid w:val="00E216D5"/>
    <w:rsid w:val="00E24EEB"/>
    <w:rsid w:val="00E31769"/>
    <w:rsid w:val="00E343D4"/>
    <w:rsid w:val="00E35F71"/>
    <w:rsid w:val="00E368D8"/>
    <w:rsid w:val="00E5120F"/>
    <w:rsid w:val="00E542E9"/>
    <w:rsid w:val="00E54DD3"/>
    <w:rsid w:val="00E55BB6"/>
    <w:rsid w:val="00E56E0C"/>
    <w:rsid w:val="00E67E91"/>
    <w:rsid w:val="00E700CF"/>
    <w:rsid w:val="00E72DF3"/>
    <w:rsid w:val="00E77565"/>
    <w:rsid w:val="00E776D7"/>
    <w:rsid w:val="00E803ED"/>
    <w:rsid w:val="00E84002"/>
    <w:rsid w:val="00E9011C"/>
    <w:rsid w:val="00E91AC9"/>
    <w:rsid w:val="00E91ADF"/>
    <w:rsid w:val="00E970AB"/>
    <w:rsid w:val="00E97D2F"/>
    <w:rsid w:val="00EB6073"/>
    <w:rsid w:val="00EB6B01"/>
    <w:rsid w:val="00EC11B3"/>
    <w:rsid w:val="00EC1A87"/>
    <w:rsid w:val="00EC37C9"/>
    <w:rsid w:val="00EC406F"/>
    <w:rsid w:val="00EC5735"/>
    <w:rsid w:val="00ED1ED5"/>
    <w:rsid w:val="00ED4335"/>
    <w:rsid w:val="00ED5955"/>
    <w:rsid w:val="00ED5979"/>
    <w:rsid w:val="00EE3932"/>
    <w:rsid w:val="00EE52AC"/>
    <w:rsid w:val="00EE541F"/>
    <w:rsid w:val="00EF0D9B"/>
    <w:rsid w:val="00EF2956"/>
    <w:rsid w:val="00EF4345"/>
    <w:rsid w:val="00F00F3D"/>
    <w:rsid w:val="00F12044"/>
    <w:rsid w:val="00F17993"/>
    <w:rsid w:val="00F20E1E"/>
    <w:rsid w:val="00F226CE"/>
    <w:rsid w:val="00F22727"/>
    <w:rsid w:val="00F227BC"/>
    <w:rsid w:val="00F3669D"/>
    <w:rsid w:val="00F37863"/>
    <w:rsid w:val="00F40513"/>
    <w:rsid w:val="00F43186"/>
    <w:rsid w:val="00F445F6"/>
    <w:rsid w:val="00F46A8F"/>
    <w:rsid w:val="00F46EBB"/>
    <w:rsid w:val="00F50649"/>
    <w:rsid w:val="00F51D45"/>
    <w:rsid w:val="00F53B5B"/>
    <w:rsid w:val="00F548AC"/>
    <w:rsid w:val="00F54FB3"/>
    <w:rsid w:val="00F57E0C"/>
    <w:rsid w:val="00F62365"/>
    <w:rsid w:val="00F63265"/>
    <w:rsid w:val="00F63843"/>
    <w:rsid w:val="00F674AB"/>
    <w:rsid w:val="00F72232"/>
    <w:rsid w:val="00F80F11"/>
    <w:rsid w:val="00F8295E"/>
    <w:rsid w:val="00F8363E"/>
    <w:rsid w:val="00F84B49"/>
    <w:rsid w:val="00F85465"/>
    <w:rsid w:val="00F87808"/>
    <w:rsid w:val="00F912C6"/>
    <w:rsid w:val="00F943E4"/>
    <w:rsid w:val="00F973DA"/>
    <w:rsid w:val="00F979C9"/>
    <w:rsid w:val="00FA0015"/>
    <w:rsid w:val="00FA1092"/>
    <w:rsid w:val="00FA1862"/>
    <w:rsid w:val="00FB2467"/>
    <w:rsid w:val="00FB33CA"/>
    <w:rsid w:val="00FB58C7"/>
    <w:rsid w:val="00FB71E5"/>
    <w:rsid w:val="00FC30BF"/>
    <w:rsid w:val="00FC3D8D"/>
    <w:rsid w:val="00FC3FAC"/>
    <w:rsid w:val="00FC5E32"/>
    <w:rsid w:val="00FD0A5D"/>
    <w:rsid w:val="00FD28AC"/>
    <w:rsid w:val="00FD4157"/>
    <w:rsid w:val="00FD7D72"/>
    <w:rsid w:val="00FE152E"/>
    <w:rsid w:val="00FE2891"/>
    <w:rsid w:val="00FE3CA1"/>
    <w:rsid w:val="00FE4424"/>
    <w:rsid w:val="00FF6287"/>
    <w:rsid w:val="00FF7CD3"/>
    <w:rsid w:val="399A43B9"/>
    <w:rsid w:val="4C3617D2"/>
    <w:rsid w:val="5AE479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44"/>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3">
    <w:name w:val="heading 3"/>
    <w:basedOn w:val="1"/>
    <w:next w:val="1"/>
    <w:link w:val="48"/>
    <w:semiHidden/>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Normal Indent"/>
    <w:basedOn w:val="1"/>
    <w:semiHidden/>
    <w:unhideWhenUsed/>
    <w:qFormat/>
    <w:uiPriority w:val="99"/>
    <w:pPr>
      <w:ind w:firstLine="420" w:firstLineChars="200"/>
    </w:p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annotation text"/>
    <w:basedOn w:val="1"/>
    <w:link w:val="28"/>
    <w:qFormat/>
    <w:uiPriority w:val="99"/>
    <w:pPr>
      <w:jc w:val="left"/>
    </w:pPr>
  </w:style>
  <w:style w:type="paragraph" w:styleId="7">
    <w:name w:val="Body Text"/>
    <w:basedOn w:val="1"/>
    <w:link w:val="38"/>
    <w:unhideWhenUsed/>
    <w:qFormat/>
    <w:uiPriority w:val="99"/>
    <w:pPr>
      <w:spacing w:before="100" w:beforeAutospacing="1" w:after="120"/>
    </w:pPr>
    <w:rPr>
      <w:rFonts w:ascii="Times New Roman" w:hAnsi="Times New Roman" w:eastAsia="宋体" w:cs="Times New Roman"/>
      <w:szCs w:val="21"/>
    </w:rPr>
  </w:style>
  <w:style w:type="paragraph" w:styleId="8">
    <w:name w:val="Plain Text"/>
    <w:basedOn w:val="1"/>
    <w:link w:val="36"/>
    <w:unhideWhenUsed/>
    <w:qFormat/>
    <w:uiPriority w:val="99"/>
    <w:rPr>
      <w:rFonts w:ascii="宋体" w:hAnsi="Courier New" w:eastAsia="宋体" w:cs="宋体"/>
      <w:sz w:val="20"/>
      <w:szCs w:val="20"/>
    </w:rPr>
  </w:style>
  <w:style w:type="paragraph" w:styleId="9">
    <w:name w:val="Date"/>
    <w:basedOn w:val="1"/>
    <w:next w:val="1"/>
    <w:link w:val="24"/>
    <w:qFormat/>
    <w:uiPriority w:val="0"/>
    <w:rPr>
      <w:sz w:val="28"/>
      <w:szCs w:val="20"/>
    </w:rPr>
  </w:style>
  <w:style w:type="paragraph" w:styleId="10">
    <w:name w:val="Balloon Text"/>
    <w:basedOn w:val="1"/>
    <w:link w:val="30"/>
    <w:semiHidden/>
    <w:unhideWhenUsed/>
    <w:qFormat/>
    <w:uiPriority w:val="99"/>
    <w:rPr>
      <w:sz w:val="18"/>
      <w:szCs w:val="18"/>
    </w:rPr>
  </w:style>
  <w:style w:type="paragraph" w:styleId="11">
    <w:name w:val="footer"/>
    <w:basedOn w:val="1"/>
    <w:link w:val="22"/>
    <w:unhideWhenUsed/>
    <w:qFormat/>
    <w:uiPriority w:val="99"/>
    <w:pPr>
      <w:tabs>
        <w:tab w:val="center" w:pos="4153"/>
        <w:tab w:val="right" w:pos="8306"/>
      </w:tabs>
      <w:snapToGrid w:val="0"/>
      <w:jc w:val="left"/>
    </w:pPr>
    <w:rPr>
      <w:sz w:val="18"/>
      <w:szCs w:val="18"/>
    </w:rPr>
  </w:style>
  <w:style w:type="paragraph" w:styleId="12">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List"/>
    <w:basedOn w:val="1"/>
    <w:semiHidden/>
    <w:unhideWhenUsed/>
    <w:qFormat/>
    <w:uiPriority w:val="99"/>
    <w:pPr>
      <w:spacing w:line="320" w:lineRule="exact"/>
      <w:jc w:val="center"/>
    </w:pPr>
    <w:rPr>
      <w:rFonts w:ascii="仿宋_GB2312" w:eastAsia="仿宋_GB2312"/>
    </w:rPr>
  </w:style>
  <w:style w:type="paragraph" w:styleId="14">
    <w:name w:val="annotation subject"/>
    <w:basedOn w:val="6"/>
    <w:next w:val="6"/>
    <w:link w:val="34"/>
    <w:semiHidden/>
    <w:unhideWhenUsed/>
    <w:qFormat/>
    <w:uiPriority w:val="99"/>
    <w:rPr>
      <w:b/>
      <w:bCs/>
    </w:rPr>
  </w:style>
  <w:style w:type="paragraph" w:styleId="15">
    <w:name w:val="Body Text First Indent"/>
    <w:basedOn w:val="7"/>
    <w:link w:val="45"/>
    <w:unhideWhenUsed/>
    <w:qFormat/>
    <w:uiPriority w:val="99"/>
    <w:pPr>
      <w:spacing w:before="0" w:beforeAutospacing="0"/>
      <w:ind w:firstLine="420" w:firstLineChars="100"/>
    </w:pPr>
    <w:rPr>
      <w:szCs w:val="24"/>
    </w:rPr>
  </w:style>
  <w:style w:type="table" w:styleId="17">
    <w:name w:val="Table Grid"/>
    <w:basedOn w:val="16"/>
    <w:qFormat/>
    <w:uiPriority w:val="59"/>
    <w:pPr>
      <w:widowControl w:val="0"/>
      <w:jc w:val="both"/>
    </w:pPr>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FFFFFF" w:themeFill="background1"/>
    </w:tcPr>
  </w:style>
  <w:style w:type="character" w:styleId="19">
    <w:name w:val="Hyperlink"/>
    <w:basedOn w:val="18"/>
    <w:semiHidden/>
    <w:unhideWhenUsed/>
    <w:qFormat/>
    <w:uiPriority w:val="99"/>
    <w:rPr>
      <w:color w:val="0000FF"/>
      <w:u w:val="single"/>
    </w:rPr>
  </w:style>
  <w:style w:type="character" w:styleId="20">
    <w:name w:val="annotation reference"/>
    <w:basedOn w:val="18"/>
    <w:semiHidden/>
    <w:unhideWhenUsed/>
    <w:qFormat/>
    <w:uiPriority w:val="99"/>
    <w:rPr>
      <w:sz w:val="21"/>
      <w:szCs w:val="21"/>
    </w:rPr>
  </w:style>
  <w:style w:type="character" w:customStyle="1" w:styleId="21">
    <w:name w:val="页眉 字符"/>
    <w:basedOn w:val="18"/>
    <w:link w:val="12"/>
    <w:qFormat/>
    <w:uiPriority w:val="99"/>
    <w:rPr>
      <w:sz w:val="18"/>
      <w:szCs w:val="18"/>
    </w:rPr>
  </w:style>
  <w:style w:type="character" w:customStyle="1" w:styleId="22">
    <w:name w:val="页脚 字符"/>
    <w:basedOn w:val="18"/>
    <w:link w:val="11"/>
    <w:qFormat/>
    <w:uiPriority w:val="99"/>
    <w:rPr>
      <w:sz w:val="18"/>
      <w:szCs w:val="18"/>
    </w:rPr>
  </w:style>
  <w:style w:type="paragraph" w:customStyle="1" w:styleId="23">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24">
    <w:name w:val="日期 字符"/>
    <w:basedOn w:val="18"/>
    <w:link w:val="9"/>
    <w:qFormat/>
    <w:uiPriority w:val="0"/>
    <w:rPr>
      <w:sz w:val="28"/>
      <w:szCs w:val="20"/>
    </w:rPr>
  </w:style>
  <w:style w:type="paragraph" w:customStyle="1" w:styleId="25">
    <w:name w:val="1"/>
    <w:basedOn w:val="1"/>
    <w:next w:val="4"/>
    <w:qFormat/>
    <w:uiPriority w:val="0"/>
    <w:pPr>
      <w:ind w:firstLine="420"/>
    </w:pPr>
    <w:rPr>
      <w:rFonts w:ascii="宋体"/>
      <w:sz w:val="26"/>
      <w:szCs w:val="20"/>
    </w:rPr>
  </w:style>
  <w:style w:type="paragraph" w:customStyle="1" w:styleId="26">
    <w:name w:val="列出段落1"/>
    <w:basedOn w:val="1"/>
    <w:qFormat/>
    <w:uiPriority w:val="0"/>
    <w:pPr>
      <w:jc w:val="center"/>
    </w:pPr>
    <w:rPr>
      <w:sz w:val="22"/>
    </w:rPr>
  </w:style>
  <w:style w:type="paragraph" w:customStyle="1" w:styleId="27">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28">
    <w:name w:val="批注文字 字符"/>
    <w:basedOn w:val="18"/>
    <w:link w:val="6"/>
    <w:qFormat/>
    <w:uiPriority w:val="99"/>
    <w:rPr>
      <w:szCs w:val="24"/>
    </w:rPr>
  </w:style>
  <w:style w:type="paragraph" w:customStyle="1" w:styleId="29">
    <w:name w:val="表内"/>
    <w:basedOn w:val="1"/>
    <w:qFormat/>
    <w:uiPriority w:val="0"/>
    <w:pPr>
      <w:spacing w:line="312" w:lineRule="auto"/>
      <w:ind w:firstLine="482"/>
    </w:pPr>
    <w:rPr>
      <w:rFonts w:eastAsia="宋体"/>
    </w:rPr>
  </w:style>
  <w:style w:type="character" w:customStyle="1" w:styleId="30">
    <w:name w:val="批注框文本 字符"/>
    <w:basedOn w:val="18"/>
    <w:link w:val="10"/>
    <w:semiHidden/>
    <w:qFormat/>
    <w:uiPriority w:val="99"/>
    <w:rPr>
      <w:sz w:val="18"/>
      <w:szCs w:val="18"/>
    </w:rPr>
  </w:style>
  <w:style w:type="character" w:customStyle="1" w:styleId="31">
    <w:name w:val="fontstyle01"/>
    <w:basedOn w:val="18"/>
    <w:qFormat/>
    <w:uiPriority w:val="0"/>
    <w:rPr>
      <w:rFonts w:hint="eastAsia" w:ascii="宋体" w:hAnsi="宋体" w:eastAsia="宋体"/>
      <w:color w:val="000000"/>
      <w:sz w:val="24"/>
      <w:szCs w:val="24"/>
    </w:rPr>
  </w:style>
  <w:style w:type="character" w:customStyle="1" w:styleId="32">
    <w:name w:val="fontstyle21"/>
    <w:basedOn w:val="18"/>
    <w:qFormat/>
    <w:uiPriority w:val="0"/>
    <w:rPr>
      <w:rFonts w:hint="default" w:ascii="TimesNewRomanPSMT" w:hAnsi="TimesNewRomanPSMT"/>
      <w:color w:val="000000"/>
      <w:sz w:val="24"/>
      <w:szCs w:val="24"/>
    </w:rPr>
  </w:style>
  <w:style w:type="character" w:customStyle="1" w:styleId="33">
    <w:name w:val="fontstyle11"/>
    <w:basedOn w:val="18"/>
    <w:qFormat/>
    <w:uiPriority w:val="0"/>
    <w:rPr>
      <w:rFonts w:hint="default" w:ascii="TimesNewRomanPSMT" w:hAnsi="TimesNewRomanPSMT"/>
      <w:color w:val="000000"/>
      <w:sz w:val="24"/>
      <w:szCs w:val="24"/>
    </w:rPr>
  </w:style>
  <w:style w:type="character" w:customStyle="1" w:styleId="34">
    <w:name w:val="批注主题 字符"/>
    <w:basedOn w:val="28"/>
    <w:link w:val="14"/>
    <w:semiHidden/>
    <w:qFormat/>
    <w:uiPriority w:val="99"/>
    <w:rPr>
      <w:b/>
      <w:bCs/>
      <w:szCs w:val="24"/>
    </w:rPr>
  </w:style>
  <w:style w:type="paragraph" w:customStyle="1" w:styleId="35">
    <w:name w:val="修订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36">
    <w:name w:val="纯文本 字符"/>
    <w:basedOn w:val="18"/>
    <w:link w:val="8"/>
    <w:qFormat/>
    <w:uiPriority w:val="99"/>
    <w:rPr>
      <w:rFonts w:ascii="宋体" w:hAnsi="Courier New" w:eastAsia="宋体" w:cs="宋体"/>
      <w:sz w:val="20"/>
      <w:szCs w:val="20"/>
    </w:rPr>
  </w:style>
  <w:style w:type="paragraph" w:customStyle="1" w:styleId="37">
    <w:name w:val="无间隔1"/>
    <w:basedOn w:val="1"/>
    <w:qFormat/>
    <w:uiPriority w:val="0"/>
    <w:pPr>
      <w:adjustRightInd w:val="0"/>
      <w:snapToGrid w:val="0"/>
      <w:spacing w:line="320" w:lineRule="exact"/>
      <w:jc w:val="center"/>
    </w:pPr>
    <w:rPr>
      <w:rFonts w:ascii="Times New Roman" w:hAnsi="Times New Roman" w:eastAsia="仿宋_GB2312" w:cs="Times New Roman"/>
      <w:kern w:val="0"/>
      <w:sz w:val="20"/>
      <w:szCs w:val="20"/>
    </w:rPr>
  </w:style>
  <w:style w:type="character" w:customStyle="1" w:styleId="38">
    <w:name w:val="正文文本 字符"/>
    <w:basedOn w:val="18"/>
    <w:link w:val="7"/>
    <w:qFormat/>
    <w:uiPriority w:val="99"/>
    <w:rPr>
      <w:rFonts w:ascii="Times New Roman" w:hAnsi="Times New Roman" w:eastAsia="宋体" w:cs="Times New Roman"/>
      <w:szCs w:val="21"/>
    </w:rPr>
  </w:style>
  <w:style w:type="paragraph" w:customStyle="1" w:styleId="39">
    <w:name w:val="标题3"/>
    <w:basedOn w:val="1"/>
    <w:link w:val="41"/>
    <w:qFormat/>
    <w:uiPriority w:val="0"/>
    <w:pPr>
      <w:adjustRightInd w:val="0"/>
      <w:snapToGrid w:val="0"/>
      <w:spacing w:before="100" w:beforeAutospacing="1" w:afterLines="50"/>
      <w:jc w:val="left"/>
      <w:outlineLvl w:val="2"/>
    </w:pPr>
    <w:rPr>
      <w:rFonts w:ascii="宋体" w:hAnsi="宋体" w:eastAsia="宋体" w:cs="宋体"/>
      <w:b/>
      <w:bCs/>
      <w:spacing w:val="-6"/>
      <w:sz w:val="24"/>
    </w:rPr>
  </w:style>
  <w:style w:type="paragraph" w:customStyle="1" w:styleId="40">
    <w:name w:val="正文2"/>
    <w:qFormat/>
    <w:uiPriority w:val="0"/>
    <w:pPr>
      <w:jc w:val="both"/>
    </w:pPr>
    <w:rPr>
      <w:rFonts w:ascii="等线" w:hAnsi="等线" w:eastAsia="宋体" w:cs="宋体"/>
      <w:kern w:val="2"/>
      <w:sz w:val="21"/>
      <w:szCs w:val="21"/>
      <w:lang w:val="en-US" w:eastAsia="zh-CN" w:bidi="ar-SA"/>
    </w:rPr>
  </w:style>
  <w:style w:type="character" w:customStyle="1" w:styleId="41">
    <w:name w:val="标题3 Char"/>
    <w:link w:val="39"/>
    <w:qFormat/>
    <w:uiPriority w:val="0"/>
    <w:rPr>
      <w:rFonts w:ascii="宋体" w:hAnsi="宋体" w:eastAsia="宋体" w:cs="宋体"/>
      <w:b/>
      <w:bCs/>
      <w:spacing w:val="-6"/>
      <w:sz w:val="24"/>
      <w:szCs w:val="24"/>
    </w:rPr>
  </w:style>
  <w:style w:type="character" w:customStyle="1" w:styleId="42">
    <w:name w:val="表格内容 Char"/>
    <w:link w:val="43"/>
    <w:qFormat/>
    <w:locked/>
    <w:uiPriority w:val="0"/>
    <w:rPr>
      <w:color w:val="000000"/>
      <w:szCs w:val="24"/>
    </w:rPr>
  </w:style>
  <w:style w:type="paragraph" w:customStyle="1" w:styleId="43">
    <w:name w:val="表格内容"/>
    <w:basedOn w:val="1"/>
    <w:link w:val="42"/>
    <w:qFormat/>
    <w:uiPriority w:val="0"/>
    <w:pPr>
      <w:adjustRightInd w:val="0"/>
      <w:snapToGrid w:val="0"/>
      <w:jc w:val="center"/>
    </w:pPr>
    <w:rPr>
      <w:color w:val="000000"/>
    </w:rPr>
  </w:style>
  <w:style w:type="character" w:customStyle="1" w:styleId="44">
    <w:name w:val="标题 2 字符"/>
    <w:basedOn w:val="18"/>
    <w:link w:val="2"/>
    <w:qFormat/>
    <w:uiPriority w:val="9"/>
    <w:rPr>
      <w:rFonts w:ascii="宋体" w:hAnsi="宋体" w:eastAsia="宋体" w:cs="宋体"/>
      <w:b/>
      <w:bCs/>
      <w:kern w:val="0"/>
      <w:sz w:val="36"/>
      <w:szCs w:val="36"/>
    </w:rPr>
  </w:style>
  <w:style w:type="character" w:customStyle="1" w:styleId="45">
    <w:name w:val="正文文本首行缩进 字符"/>
    <w:basedOn w:val="38"/>
    <w:link w:val="15"/>
    <w:qFormat/>
    <w:uiPriority w:val="99"/>
    <w:rPr>
      <w:rFonts w:ascii="Times New Roman" w:hAnsi="Times New Roman" w:eastAsia="宋体" w:cs="Times New Roman"/>
      <w:szCs w:val="24"/>
    </w:rPr>
  </w:style>
  <w:style w:type="paragraph" w:customStyle="1" w:styleId="46">
    <w:name w:val="表格文字"/>
    <w:basedOn w:val="1"/>
    <w:link w:val="47"/>
    <w:qFormat/>
    <w:uiPriority w:val="0"/>
    <w:pPr>
      <w:adjustRightInd w:val="0"/>
      <w:snapToGrid w:val="0"/>
      <w:jc w:val="center"/>
    </w:pPr>
    <w:rPr>
      <w:rFonts w:ascii="仿宋_GB2312" w:hAnsi="Arial Black" w:eastAsia="仿宋_GB2312" w:cs="Times New Roman"/>
      <w:kern w:val="44"/>
      <w:sz w:val="24"/>
      <w:szCs w:val="20"/>
    </w:rPr>
  </w:style>
  <w:style w:type="character" w:customStyle="1" w:styleId="47">
    <w:name w:val="表格文字 Char Char"/>
    <w:link w:val="46"/>
    <w:qFormat/>
    <w:uiPriority w:val="0"/>
    <w:rPr>
      <w:rFonts w:ascii="仿宋_GB2312" w:hAnsi="Arial Black" w:eastAsia="仿宋_GB2312" w:cs="Times New Roman"/>
      <w:kern w:val="44"/>
      <w:sz w:val="24"/>
      <w:szCs w:val="20"/>
    </w:rPr>
  </w:style>
  <w:style w:type="character" w:customStyle="1" w:styleId="48">
    <w:name w:val="标题 3 字符"/>
    <w:basedOn w:val="18"/>
    <w:link w:val="3"/>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microsoft.com/office/2007/relationships/diagramDrawing" Target="diagrams/drawing1.xml"/><Relationship Id="rId2" Type="http://schemas.openxmlformats.org/officeDocument/2006/relationships/settings" Target="settings.xml"/><Relationship Id="rId19" Type="http://schemas.openxmlformats.org/officeDocument/2006/relationships/diagramColors" Target="diagrams/colors1.xml"/><Relationship Id="rId18" Type="http://schemas.openxmlformats.org/officeDocument/2006/relationships/diagramQuickStyle" Target="diagrams/quickStyle1.xml"/><Relationship Id="rId17" Type="http://schemas.openxmlformats.org/officeDocument/2006/relationships/diagramLayout" Target="diagrams/layout1.xml"/><Relationship Id="rId16" Type="http://schemas.openxmlformats.org/officeDocument/2006/relationships/diagramData" Target="diagrams/data1.xml"/><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emf"/><Relationship Id="rId11" Type="http://schemas.openxmlformats.org/officeDocument/2006/relationships/oleObject" Target="embeddings/oleObject1.bin"/><Relationship Id="rId10" Type="http://schemas.openxmlformats.org/officeDocument/2006/relationships/image" Target="media/image5.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66E3AD5-CC24-4E2E-A627-6620670FFB4E}" type="doc">
      <dgm:prSet loTypeId="urn:microsoft.com/office/officeart/2005/8/layout/process1" loCatId="process" qsTypeId="urn:microsoft.com/office/officeart/2005/8/quickstyle/simple1#1" qsCatId="simple" csTypeId="urn:microsoft.com/office/officeart/2005/8/colors/accent0_1#1" csCatId="mainScheme" phldr="1"/>
      <dgm:spPr/>
    </dgm:pt>
    <dgm:pt modelId="{E52364A4-CFA0-4C52-8F39-9AEA9D9FF29C}">
      <dgm:prSet phldrT="[文本]"/>
      <dgm:spPr/>
      <dgm:t>
        <a:bodyPr/>
        <a:p>
          <a:r>
            <a:rPr lang="zh-CN" altLang="en-US"/>
            <a:t>颗粒物</a:t>
          </a:r>
        </a:p>
      </dgm:t>
    </dgm:pt>
    <dgm:pt modelId="{D866DAF7-614A-449C-8112-72C00577BF67}" cxnId="{98CAE83C-3359-4070-BD68-A31CE745B6D8}" type="parTrans">
      <dgm:prSet/>
      <dgm:spPr/>
      <dgm:t>
        <a:bodyPr/>
        <a:p>
          <a:endParaRPr lang="zh-CN" altLang="en-US"/>
        </a:p>
      </dgm:t>
    </dgm:pt>
    <dgm:pt modelId="{69E639A1-5BB7-4545-AFEC-9928A4543568}" cxnId="{98CAE83C-3359-4070-BD68-A31CE745B6D8}" type="sibTrans">
      <dgm:prSet/>
      <dgm:spPr/>
      <dgm:t>
        <a:bodyPr/>
        <a:p>
          <a:endParaRPr lang="zh-CN" altLang="en-US"/>
        </a:p>
      </dgm:t>
    </dgm:pt>
    <dgm:pt modelId="{774F9D5E-6144-40E8-8CE0-6B6697F1A0DE}">
      <dgm:prSet phldrT="[文本]"/>
      <dgm:spPr/>
      <dgm:t>
        <a:bodyPr/>
        <a:p>
          <a:r>
            <a:rPr lang="zh-CN" altLang="en-US"/>
            <a:t>布袋除尘</a:t>
          </a:r>
        </a:p>
      </dgm:t>
    </dgm:pt>
    <dgm:pt modelId="{F19E82E0-3CB5-428E-BB47-D8C9330320DE}" cxnId="{E25AFAFD-8807-4D71-99C2-F11EABED27B5}" type="parTrans">
      <dgm:prSet/>
      <dgm:spPr/>
      <dgm:t>
        <a:bodyPr/>
        <a:p>
          <a:endParaRPr lang="zh-CN" altLang="en-US"/>
        </a:p>
      </dgm:t>
    </dgm:pt>
    <dgm:pt modelId="{7E238BA5-9AEB-43C8-89B9-D85FC4CF06AD}" cxnId="{E25AFAFD-8807-4D71-99C2-F11EABED27B5}" type="sibTrans">
      <dgm:prSet/>
      <dgm:spPr/>
      <dgm:t>
        <a:bodyPr/>
        <a:p>
          <a:endParaRPr lang="zh-CN" altLang="en-US"/>
        </a:p>
      </dgm:t>
    </dgm:pt>
    <dgm:pt modelId="{8772ACAE-CE4E-404D-BEE7-41205CBA7D55}">
      <dgm:prSet phldrT="[文本]"/>
      <dgm:spPr/>
      <dgm:t>
        <a:bodyPr/>
        <a:p>
          <a:r>
            <a:rPr lang="en-US" altLang="zh-CN"/>
            <a:t>15m</a:t>
          </a:r>
          <a:r>
            <a:rPr lang="zh-CN" altLang="en-US"/>
            <a:t>排气筒达标排放</a:t>
          </a:r>
        </a:p>
      </dgm:t>
    </dgm:pt>
    <dgm:pt modelId="{15224F58-F205-4560-A638-640A90257D12}" cxnId="{93C95579-AEF1-4597-8BC7-9674CF03A4A4}" type="parTrans">
      <dgm:prSet/>
      <dgm:spPr/>
      <dgm:t>
        <a:bodyPr/>
        <a:p>
          <a:endParaRPr lang="zh-CN" altLang="en-US"/>
        </a:p>
      </dgm:t>
    </dgm:pt>
    <dgm:pt modelId="{0BA728F8-CD7A-4875-B82D-9DFD3BBAAB09}" cxnId="{93C95579-AEF1-4597-8BC7-9674CF03A4A4}" type="sibTrans">
      <dgm:prSet/>
      <dgm:spPr/>
      <dgm:t>
        <a:bodyPr/>
        <a:p>
          <a:endParaRPr lang="zh-CN" altLang="en-US"/>
        </a:p>
      </dgm:t>
    </dgm:pt>
    <dgm:pt modelId="{3C961882-F6D6-4CC4-B5A0-22F6DB38EC24}" type="pres">
      <dgm:prSet presAssocID="{966E3AD5-CC24-4E2E-A627-6620670FFB4E}" presName="Name0" presStyleCnt="0">
        <dgm:presLayoutVars>
          <dgm:dir/>
          <dgm:resizeHandles val="exact"/>
        </dgm:presLayoutVars>
      </dgm:prSet>
      <dgm:spPr/>
    </dgm:pt>
    <dgm:pt modelId="{0F15C333-890A-48D8-9D6D-A979811D35D3}" type="pres">
      <dgm:prSet presAssocID="{E52364A4-CFA0-4C52-8F39-9AEA9D9FF29C}" presName="node" presStyleLbl="node1" presStyleIdx="0" presStyleCnt="3">
        <dgm:presLayoutVars>
          <dgm:bulletEnabled val="1"/>
        </dgm:presLayoutVars>
      </dgm:prSet>
      <dgm:spPr/>
    </dgm:pt>
    <dgm:pt modelId="{3AAAECC2-A7A8-4E1B-BE1D-C6BC14B03D69}" type="pres">
      <dgm:prSet presAssocID="{69E639A1-5BB7-4545-AFEC-9928A4543568}" presName="sibTrans" presStyleLbl="sibTrans2D1" presStyleIdx="0" presStyleCnt="2"/>
      <dgm:spPr/>
    </dgm:pt>
    <dgm:pt modelId="{0883534F-F8A0-46E9-BCA5-44317723584E}" type="pres">
      <dgm:prSet presAssocID="{69E639A1-5BB7-4545-AFEC-9928A4543568}" presName="connectorText" presStyleLbl="sibTrans2D1" presStyleIdx="0" presStyleCnt="2"/>
      <dgm:spPr/>
    </dgm:pt>
    <dgm:pt modelId="{EF126C0B-ECC4-4363-A53B-FDC0D3EB6317}" type="pres">
      <dgm:prSet presAssocID="{774F9D5E-6144-40E8-8CE0-6B6697F1A0DE}" presName="node" presStyleLbl="node1" presStyleIdx="1" presStyleCnt="3">
        <dgm:presLayoutVars>
          <dgm:bulletEnabled val="1"/>
        </dgm:presLayoutVars>
      </dgm:prSet>
      <dgm:spPr/>
    </dgm:pt>
    <dgm:pt modelId="{C018CD40-3D57-4BC7-8232-C3795A01246F}" type="pres">
      <dgm:prSet presAssocID="{7E238BA5-9AEB-43C8-89B9-D85FC4CF06AD}" presName="sibTrans" presStyleLbl="sibTrans2D1" presStyleIdx="1" presStyleCnt="2"/>
      <dgm:spPr/>
    </dgm:pt>
    <dgm:pt modelId="{F9E9CA63-1731-48D9-B1AE-145246C6C037}" type="pres">
      <dgm:prSet presAssocID="{7E238BA5-9AEB-43C8-89B9-D85FC4CF06AD}" presName="connectorText" presStyleLbl="sibTrans2D1" presStyleIdx="1" presStyleCnt="2"/>
      <dgm:spPr/>
    </dgm:pt>
    <dgm:pt modelId="{33115D4B-B7B7-49F8-B802-63A918804D2E}" type="pres">
      <dgm:prSet presAssocID="{8772ACAE-CE4E-404D-BEE7-41205CBA7D55}" presName="node" presStyleLbl="node1" presStyleIdx="2" presStyleCnt="3">
        <dgm:presLayoutVars>
          <dgm:bulletEnabled val="1"/>
        </dgm:presLayoutVars>
      </dgm:prSet>
      <dgm:spPr/>
    </dgm:pt>
  </dgm:ptLst>
  <dgm:cxnLst>
    <dgm:cxn modelId="{6E32A914-11E3-4642-B87A-CEBFE8967C69}" type="presOf" srcId="{966E3AD5-CC24-4E2E-A627-6620670FFB4E}" destId="{3C961882-F6D6-4CC4-B5A0-22F6DB38EC24}" srcOrd="0" destOrd="0" presId="urn:microsoft.com/office/officeart/2005/8/layout/process1"/>
    <dgm:cxn modelId="{7138C318-FE5D-4671-B738-A25429809EE5}" type="presOf" srcId="{69E639A1-5BB7-4545-AFEC-9928A4543568}" destId="{0883534F-F8A0-46E9-BCA5-44317723584E}" srcOrd="1" destOrd="0" presId="urn:microsoft.com/office/officeart/2005/8/layout/process1"/>
    <dgm:cxn modelId="{19607E22-CB7A-47CB-AC76-98C5F4AB3845}" type="presOf" srcId="{7E238BA5-9AEB-43C8-89B9-D85FC4CF06AD}" destId="{C018CD40-3D57-4BC7-8232-C3795A01246F}" srcOrd="0" destOrd="0" presId="urn:microsoft.com/office/officeart/2005/8/layout/process1"/>
    <dgm:cxn modelId="{A698B323-9DD8-46C5-96C6-6A996DBD4F88}" type="presOf" srcId="{69E639A1-5BB7-4545-AFEC-9928A4543568}" destId="{3AAAECC2-A7A8-4E1B-BE1D-C6BC14B03D69}" srcOrd="0" destOrd="0" presId="urn:microsoft.com/office/officeart/2005/8/layout/process1"/>
    <dgm:cxn modelId="{98CAE83C-3359-4070-BD68-A31CE745B6D8}" srcId="{966E3AD5-CC24-4E2E-A627-6620670FFB4E}" destId="{E52364A4-CFA0-4C52-8F39-9AEA9D9FF29C}" srcOrd="0" destOrd="0" parTransId="{D866DAF7-614A-449C-8112-72C00577BF67}" sibTransId="{69E639A1-5BB7-4545-AFEC-9928A4543568}"/>
    <dgm:cxn modelId="{2D8A7B40-EADE-416F-A33A-750B143A73DD}" type="presOf" srcId="{E52364A4-CFA0-4C52-8F39-9AEA9D9FF29C}" destId="{0F15C333-890A-48D8-9D6D-A979811D35D3}" srcOrd="0" destOrd="0" presId="urn:microsoft.com/office/officeart/2005/8/layout/process1"/>
    <dgm:cxn modelId="{204C736C-017D-4A8C-989D-44909B35D9EB}" type="presOf" srcId="{774F9D5E-6144-40E8-8CE0-6B6697F1A0DE}" destId="{EF126C0B-ECC4-4363-A53B-FDC0D3EB6317}" srcOrd="0" destOrd="0" presId="urn:microsoft.com/office/officeart/2005/8/layout/process1"/>
    <dgm:cxn modelId="{93C95579-AEF1-4597-8BC7-9674CF03A4A4}" srcId="{966E3AD5-CC24-4E2E-A627-6620670FFB4E}" destId="{8772ACAE-CE4E-404D-BEE7-41205CBA7D55}" srcOrd="2" destOrd="0" parTransId="{15224F58-F205-4560-A638-640A90257D12}" sibTransId="{0BA728F8-CD7A-4875-B82D-9DFD3BBAAB09}"/>
    <dgm:cxn modelId="{388E0697-6D90-489F-9CF4-EBC3225F04F7}" type="presOf" srcId="{7E238BA5-9AEB-43C8-89B9-D85FC4CF06AD}" destId="{F9E9CA63-1731-48D9-B1AE-145246C6C037}" srcOrd="1" destOrd="0" presId="urn:microsoft.com/office/officeart/2005/8/layout/process1"/>
    <dgm:cxn modelId="{094635BF-1134-4892-B8C7-491F892ACB82}" type="presOf" srcId="{8772ACAE-CE4E-404D-BEE7-41205CBA7D55}" destId="{33115D4B-B7B7-49F8-B802-63A918804D2E}" srcOrd="0" destOrd="0" presId="urn:microsoft.com/office/officeart/2005/8/layout/process1"/>
    <dgm:cxn modelId="{E25AFAFD-8807-4D71-99C2-F11EABED27B5}" srcId="{966E3AD5-CC24-4E2E-A627-6620670FFB4E}" destId="{774F9D5E-6144-40E8-8CE0-6B6697F1A0DE}" srcOrd="1" destOrd="0" parTransId="{F19E82E0-3CB5-428E-BB47-D8C9330320DE}" sibTransId="{7E238BA5-9AEB-43C8-89B9-D85FC4CF06AD}"/>
    <dgm:cxn modelId="{3B077AFD-0827-4E4B-8FFD-375A2E857350}" type="presParOf" srcId="{3C961882-F6D6-4CC4-B5A0-22F6DB38EC24}" destId="{0F15C333-890A-48D8-9D6D-A979811D35D3}" srcOrd="0" destOrd="0" presId="urn:microsoft.com/office/officeart/2005/8/layout/process1"/>
    <dgm:cxn modelId="{8A05EF8B-FC4F-4389-AD23-D4BF6C0D1664}" type="presParOf" srcId="{3C961882-F6D6-4CC4-B5A0-22F6DB38EC24}" destId="{3AAAECC2-A7A8-4E1B-BE1D-C6BC14B03D69}" srcOrd="1" destOrd="0" presId="urn:microsoft.com/office/officeart/2005/8/layout/process1"/>
    <dgm:cxn modelId="{74AA60CD-9197-46C6-A18C-5F5F269816ED}" type="presParOf" srcId="{3AAAECC2-A7A8-4E1B-BE1D-C6BC14B03D69}" destId="{0883534F-F8A0-46E9-BCA5-44317723584E}" srcOrd="0" destOrd="0" presId="urn:microsoft.com/office/officeart/2005/8/layout/process1"/>
    <dgm:cxn modelId="{4DA3A6AE-B21E-4D3B-965B-149E6C75A1FD}" type="presParOf" srcId="{3C961882-F6D6-4CC4-B5A0-22F6DB38EC24}" destId="{EF126C0B-ECC4-4363-A53B-FDC0D3EB6317}" srcOrd="2" destOrd="0" presId="urn:microsoft.com/office/officeart/2005/8/layout/process1"/>
    <dgm:cxn modelId="{B40EF117-81F5-4CE6-8A45-DF440B35F5C7}" type="presParOf" srcId="{3C961882-F6D6-4CC4-B5A0-22F6DB38EC24}" destId="{C018CD40-3D57-4BC7-8232-C3795A01246F}" srcOrd="3" destOrd="0" presId="urn:microsoft.com/office/officeart/2005/8/layout/process1"/>
    <dgm:cxn modelId="{7EDDCC25-83C5-4C10-96EB-D22950ACD504}" type="presParOf" srcId="{C018CD40-3D57-4BC7-8232-C3795A01246F}" destId="{F9E9CA63-1731-48D9-B1AE-145246C6C037}" srcOrd="0" destOrd="0" presId="urn:microsoft.com/office/officeart/2005/8/layout/process1"/>
    <dgm:cxn modelId="{8E89FBCE-539E-498D-A307-B7C636314306}" type="presParOf" srcId="{3C961882-F6D6-4CC4-B5A0-22F6DB38EC24}" destId="{33115D4B-B7B7-49F8-B802-63A918804D2E}" srcOrd="4" destOrd="0" presId="urn:microsoft.com/office/officeart/2005/8/layout/process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064760" cy="421005"/>
        <a:chOff x="0" y="0"/>
        <a:chExt cx="5064760" cy="421005"/>
      </a:xfrm>
    </dsp:grpSpPr>
    <dsp:sp modelId="{0F15C333-890A-48D8-9D6D-A979811D35D3}">
      <dsp:nvSpPr>
        <dsp:cNvPr id="3" name="圆角矩形 2"/>
        <dsp:cNvSpPr/>
      </dsp:nvSpPr>
      <dsp:spPr bwMode="white">
        <a:xfrm>
          <a:off x="0" y="0"/>
          <a:ext cx="1332832" cy="421005"/>
        </a:xfrm>
        <a:prstGeom prst="roundRect">
          <a:avLst>
            <a:gd name="adj" fmla="val 10000"/>
          </a:avLst>
        </a:prstGeom>
      </dsp:spPr>
      <dsp:style>
        <a:lnRef idx="2">
          <a:schemeClr val="dk1">
            <a:shade val="80000"/>
          </a:schemeClr>
        </a:lnRef>
        <a:fillRef idx="1">
          <a:schemeClr val="lt1"/>
        </a:fillRef>
        <a:effectRef idx="0">
          <a:scrgbClr r="0" g="0" b="0"/>
        </a:effectRef>
        <a:fontRef idx="minor">
          <a:schemeClr val="lt1"/>
        </a:fontRef>
      </dsp:style>
      <dsp:txBody>
        <a:bodyPr lIns="38100" tIns="38100" rIns="38100" bIns="3810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solidFill>
                <a:schemeClr val="dk1"/>
              </a:solidFill>
            </a:rPr>
            <a:t>颗粒物</a:t>
          </a:r>
          <a:endParaRPr>
            <a:solidFill>
              <a:schemeClr val="dk1"/>
            </a:solidFill>
          </a:endParaRPr>
        </a:p>
      </dsp:txBody>
      <dsp:txXfrm>
        <a:off x="0" y="0"/>
        <a:ext cx="1332832" cy="421005"/>
      </dsp:txXfrm>
    </dsp:sp>
    <dsp:sp modelId="{3AAAECC2-A7A8-4E1B-BE1D-C6BC14B03D69}">
      <dsp:nvSpPr>
        <dsp:cNvPr id="4" name="右箭头 3"/>
        <dsp:cNvSpPr/>
      </dsp:nvSpPr>
      <dsp:spPr bwMode="white">
        <a:xfrm>
          <a:off x="1458118" y="45231"/>
          <a:ext cx="282560" cy="330542"/>
        </a:xfrm>
        <a:prstGeom prst="righ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Body>
        <a:bodyPr lIns="0" tIns="0" rIns="0" bIns="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endParaRPr lang="zh-CN" altLang="en-US">
            <a:solidFill>
              <a:schemeClr val="dk1"/>
            </a:solidFill>
          </a:endParaRPr>
        </a:p>
      </dsp:txBody>
      <dsp:txXfrm>
        <a:off x="1458118" y="45231"/>
        <a:ext cx="282560" cy="330542"/>
      </dsp:txXfrm>
    </dsp:sp>
    <dsp:sp modelId="{EF126C0B-ECC4-4363-A53B-FDC0D3EB6317}">
      <dsp:nvSpPr>
        <dsp:cNvPr id="5" name="圆角矩形 4"/>
        <dsp:cNvSpPr/>
      </dsp:nvSpPr>
      <dsp:spPr bwMode="white">
        <a:xfrm>
          <a:off x="1865964" y="0"/>
          <a:ext cx="1332832" cy="421005"/>
        </a:xfrm>
        <a:prstGeom prst="roundRect">
          <a:avLst>
            <a:gd name="adj" fmla="val 10000"/>
          </a:avLst>
        </a:prstGeom>
      </dsp:spPr>
      <dsp:style>
        <a:lnRef idx="2">
          <a:schemeClr val="dk1">
            <a:shade val="80000"/>
          </a:schemeClr>
        </a:lnRef>
        <a:fillRef idx="1">
          <a:schemeClr val="lt1"/>
        </a:fillRef>
        <a:effectRef idx="0">
          <a:scrgbClr r="0" g="0" b="0"/>
        </a:effectRef>
        <a:fontRef idx="minor">
          <a:schemeClr val="lt1"/>
        </a:fontRef>
      </dsp:style>
      <dsp:txBody>
        <a:bodyPr lIns="38100" tIns="38100" rIns="38100" bIns="3810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zh-CN" altLang="en-US">
              <a:solidFill>
                <a:schemeClr val="dk1"/>
              </a:solidFill>
            </a:rPr>
            <a:t>布袋除尘</a:t>
          </a:r>
          <a:endParaRPr>
            <a:solidFill>
              <a:schemeClr val="dk1"/>
            </a:solidFill>
          </a:endParaRPr>
        </a:p>
      </dsp:txBody>
      <dsp:txXfrm>
        <a:off x="1865964" y="0"/>
        <a:ext cx="1332832" cy="421005"/>
      </dsp:txXfrm>
    </dsp:sp>
    <dsp:sp modelId="{C018CD40-3D57-4BC7-8232-C3795A01246F}">
      <dsp:nvSpPr>
        <dsp:cNvPr id="6" name="右箭头 5"/>
        <dsp:cNvSpPr/>
      </dsp:nvSpPr>
      <dsp:spPr bwMode="white">
        <a:xfrm>
          <a:off x="3324082" y="45231"/>
          <a:ext cx="282560" cy="330542"/>
        </a:xfrm>
        <a:prstGeom prst="righ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Body>
        <a:bodyPr lIns="0" tIns="0" rIns="0" bIns="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endParaRPr lang="zh-CN" altLang="en-US">
            <a:solidFill>
              <a:schemeClr val="dk1"/>
            </a:solidFill>
          </a:endParaRPr>
        </a:p>
      </dsp:txBody>
      <dsp:txXfrm>
        <a:off x="3324082" y="45231"/>
        <a:ext cx="282560" cy="330542"/>
      </dsp:txXfrm>
    </dsp:sp>
    <dsp:sp modelId="{33115D4B-B7B7-49F8-B802-63A918804D2E}">
      <dsp:nvSpPr>
        <dsp:cNvPr id="7" name="圆角矩形 6"/>
        <dsp:cNvSpPr/>
      </dsp:nvSpPr>
      <dsp:spPr bwMode="white">
        <a:xfrm>
          <a:off x="3731928" y="0"/>
          <a:ext cx="1332832" cy="421005"/>
        </a:xfrm>
        <a:prstGeom prst="roundRect">
          <a:avLst>
            <a:gd name="adj" fmla="val 10000"/>
          </a:avLst>
        </a:prstGeom>
      </dsp:spPr>
      <dsp:style>
        <a:lnRef idx="2">
          <a:schemeClr val="dk1">
            <a:shade val="80000"/>
          </a:schemeClr>
        </a:lnRef>
        <a:fillRef idx="1">
          <a:schemeClr val="lt1"/>
        </a:fillRef>
        <a:effectRef idx="0">
          <a:scrgbClr r="0" g="0" b="0"/>
        </a:effectRef>
        <a:fontRef idx="minor">
          <a:schemeClr val="lt1"/>
        </a:fontRef>
      </dsp:style>
      <dsp:txBody>
        <a:bodyPr lIns="38100" tIns="38100" rIns="38100" bIns="38100" anchor="ctr"/>
        <a:lstStyle>
          <a:lvl1pPr algn="ctr">
            <a:defRPr sz="1000"/>
          </a:lvl1pPr>
          <a:lvl2pPr marL="57150" indent="-57150" algn="ctr">
            <a:defRPr sz="700"/>
          </a:lvl2pPr>
          <a:lvl3pPr marL="114300" indent="-57150" algn="ctr">
            <a:defRPr sz="700"/>
          </a:lvl3pPr>
          <a:lvl4pPr marL="171450" indent="-57150" algn="ctr">
            <a:defRPr sz="700"/>
          </a:lvl4pPr>
          <a:lvl5pPr marL="228600" indent="-57150" algn="ctr">
            <a:defRPr sz="700"/>
          </a:lvl5pPr>
          <a:lvl6pPr marL="285750" indent="-57150" algn="ctr">
            <a:defRPr sz="700"/>
          </a:lvl6pPr>
          <a:lvl7pPr marL="342900" indent="-57150" algn="ctr">
            <a:defRPr sz="700"/>
          </a:lvl7pPr>
          <a:lvl8pPr marL="400050" indent="-57150" algn="ctr">
            <a:defRPr sz="700"/>
          </a:lvl8pPr>
          <a:lvl9pPr marL="457200" indent="-57150" algn="ctr">
            <a:defRPr sz="700"/>
          </a:lvl9pPr>
        </a:lstStyle>
        <a:p>
          <a:pPr lvl="0">
            <a:lnSpc>
              <a:spcPct val="100000"/>
            </a:lnSpc>
            <a:spcBef>
              <a:spcPct val="0"/>
            </a:spcBef>
            <a:spcAft>
              <a:spcPct val="35000"/>
            </a:spcAft>
          </a:pPr>
          <a:r>
            <a:rPr lang="en-US" altLang="zh-CN">
              <a:solidFill>
                <a:schemeClr val="dk1"/>
              </a:solidFill>
            </a:rPr>
            <a:t>15m</a:t>
          </a:r>
          <a:r>
            <a:rPr lang="zh-CN" altLang="en-US">
              <a:solidFill>
                <a:schemeClr val="dk1"/>
              </a:solidFill>
            </a:rPr>
            <a:t>排气筒达标排放</a:t>
          </a:r>
          <a:endParaRPr>
            <a:solidFill>
              <a:schemeClr val="dk1"/>
            </a:solidFill>
          </a:endParaRPr>
        </a:p>
      </dsp:txBody>
      <dsp:txXfrm>
        <a:off x="3731928" y="0"/>
        <a:ext cx="1332832" cy="4210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E1393-7F54-41FD-913F-FFB077DDB057}">
  <ds:schemaRefs/>
</ds:datastoreItem>
</file>

<file path=docProps/app.xml><?xml version="1.0" encoding="utf-8"?>
<Properties xmlns="http://schemas.openxmlformats.org/officeDocument/2006/extended-properties" xmlns:vt="http://schemas.openxmlformats.org/officeDocument/2006/docPropsVTypes">
  <Template>Normal</Template>
  <Pages>48</Pages>
  <Words>21898</Words>
  <Characters>26952</Characters>
  <Lines>217</Lines>
  <Paragraphs>61</Paragraphs>
  <TotalTime>11111</TotalTime>
  <ScaleCrop>false</ScaleCrop>
  <LinksUpToDate>false</LinksUpToDate>
  <CharactersWithSpaces>27259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2020-06-02T08:08:00Z</dcterms:created>
  <dc:creator>xuzha</dc:creator>
  <cp:lastModifiedBy>奚明慧</cp:lastModifiedBy>
  <dcterms:modified xsi:type="dcterms:W3CDTF">2022-12-06T06:22:46Z</dcterms:modified>
  <cp:revision>297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4AA7B805FB4E46D0A7FF0062F2973D58</vt:lpwstr>
  </property>
</Properties>
</file>